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680" w:lineRule="exact"/>
        <w:rPr>
          <w:rFonts w:hint="eastAsia" w:ascii="黑体" w:hAnsi="黑体" w:eastAsia="黑体" w:cs="黑体"/>
          <w:sz w:val="32"/>
          <w:szCs w:val="32"/>
          <w:lang w:eastAsia="zh-CN"/>
        </w:rPr>
      </w:pPr>
      <w:bookmarkStart w:id="2" w:name="_GoBack"/>
      <w:bookmarkEnd w:id="2"/>
    </w:p>
    <w:p>
      <w:pPr>
        <w:adjustRightInd w:val="0"/>
        <w:spacing w:line="560" w:lineRule="exact"/>
        <w:jc w:val="center"/>
        <w:rPr>
          <w:rFonts w:ascii="方正小标宋_GBK" w:hAnsi="宋体" w:eastAsia="方正小标宋_GBK" w:cs="宋体"/>
          <w:bCs/>
          <w:sz w:val="44"/>
          <w:szCs w:val="44"/>
        </w:rPr>
      </w:pPr>
      <w:r>
        <w:rPr>
          <w:rFonts w:hint="eastAsia" w:ascii="方正小标宋_GBK" w:hAnsi="宋体" w:eastAsia="方正小标宋_GBK" w:cs="宋体"/>
          <w:bCs/>
          <w:sz w:val="44"/>
          <w:szCs w:val="44"/>
        </w:rPr>
        <w:t>黄山市农村产权交易管理办法</w:t>
      </w:r>
    </w:p>
    <w:p>
      <w:pPr>
        <w:spacing w:line="570" w:lineRule="exact"/>
        <w:ind w:firstLine="0" w:firstLineChars="0"/>
        <w:jc w:val="cente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（修订版）</w:t>
      </w:r>
    </w:p>
    <w:p>
      <w:pPr>
        <w:spacing w:line="570" w:lineRule="exact"/>
        <w:ind w:firstLine="0" w:firstLineChars="0"/>
        <w:rPr>
          <w:rFonts w:hint="eastAsia" w:eastAsia="方正仿宋_GBK"/>
          <w:b/>
          <w:bCs/>
          <w:sz w:val="32"/>
          <w:szCs w:val="32"/>
          <w:lang w:val="en-US" w:eastAsia="zh-CN"/>
        </w:rPr>
      </w:pPr>
    </w:p>
    <w:p>
      <w:pPr>
        <w:numPr>
          <w:ilvl w:val="0"/>
          <w:numId w:val="1"/>
        </w:numPr>
        <w:spacing w:line="570" w:lineRule="exact"/>
        <w:ind w:left="0" w:firstLine="0"/>
        <w:jc w:val="center"/>
        <w:rPr>
          <w:rFonts w:ascii="方正楷体_GBK" w:hAnsi="宋体" w:eastAsia="方正楷体_GBK"/>
          <w:b/>
          <w:sz w:val="32"/>
          <w:szCs w:val="32"/>
        </w:rPr>
      </w:pPr>
      <w:r>
        <w:rPr>
          <w:rFonts w:hint="eastAsia" w:ascii="方正楷体_GBK" w:hAnsi="宋体" w:eastAsia="方正楷体_GBK"/>
          <w:b/>
          <w:sz w:val="32"/>
          <w:szCs w:val="32"/>
        </w:rPr>
        <w:t>总　则</w:t>
      </w:r>
    </w:p>
    <w:p>
      <w:pPr>
        <w:spacing w:line="570" w:lineRule="exact"/>
        <w:ind w:firstLine="640" w:firstLineChars="200"/>
        <w:rPr>
          <w:rFonts w:eastAsia="方正仿宋_GBK"/>
          <w:sz w:val="32"/>
          <w:szCs w:val="32"/>
        </w:rPr>
      </w:pPr>
      <w:r>
        <w:rPr>
          <w:rFonts w:hint="eastAsia" w:ascii="方正黑体_GBK" w:eastAsia="方正黑体_GBK"/>
          <w:sz w:val="32"/>
          <w:szCs w:val="32"/>
        </w:rPr>
        <w:t>第一条　</w:t>
      </w:r>
      <w:r>
        <w:rPr>
          <w:rFonts w:eastAsia="方正仿宋_GBK"/>
          <w:sz w:val="32"/>
          <w:szCs w:val="32"/>
        </w:rPr>
        <w:t>为了规范农村产权交易行为，培育发展农村产权交易市场，推动城乡生产要素有序流动，优化资源配置，根据《中华人民共和国招标投标法》《中华人民共和国土地管理法》《中华人民共和国农村土地承包法》《中华人民共和国森林法》等相关规定，结合本市实际，制定本办法。</w:t>
      </w:r>
    </w:p>
    <w:p>
      <w:pPr>
        <w:spacing w:line="570" w:lineRule="exact"/>
        <w:ind w:firstLine="640" w:firstLineChars="200"/>
        <w:rPr>
          <w:rFonts w:eastAsia="方正仿宋_GBK"/>
          <w:sz w:val="32"/>
          <w:szCs w:val="32"/>
        </w:rPr>
      </w:pPr>
      <w:r>
        <w:rPr>
          <w:rFonts w:ascii="方正黑体_GBK" w:eastAsia="方正黑体_GBK"/>
          <w:sz w:val="32"/>
          <w:szCs w:val="32"/>
        </w:rPr>
        <w:t>第二条</w:t>
      </w:r>
      <w:r>
        <w:rPr>
          <w:rFonts w:hint="eastAsia" w:ascii="方正黑体_GBK" w:eastAsia="方正黑体_GBK"/>
          <w:sz w:val="32"/>
          <w:szCs w:val="32"/>
        </w:rPr>
        <w:t>　</w:t>
      </w:r>
      <w:r>
        <w:rPr>
          <w:rFonts w:eastAsia="方正仿宋_GBK"/>
          <w:sz w:val="32"/>
          <w:szCs w:val="32"/>
        </w:rPr>
        <w:t>凡在本市行政区域从事农村产权交易活动的，适用本办法。法律、法规、规章另有规定的，从其规定。</w:t>
      </w:r>
    </w:p>
    <w:p>
      <w:pPr>
        <w:spacing w:line="570" w:lineRule="exact"/>
        <w:ind w:firstLine="640" w:firstLineChars="200"/>
        <w:rPr>
          <w:rFonts w:eastAsia="方正仿宋_GBK"/>
          <w:sz w:val="32"/>
          <w:szCs w:val="32"/>
        </w:rPr>
      </w:pPr>
      <w:r>
        <w:rPr>
          <w:rFonts w:ascii="方正黑体_GBK" w:eastAsia="方正黑体_GBK"/>
          <w:sz w:val="32"/>
          <w:szCs w:val="32"/>
        </w:rPr>
        <w:t>第三</w:t>
      </w:r>
      <w:r>
        <w:rPr>
          <w:rFonts w:hint="eastAsia" w:ascii="方正黑体_GBK" w:eastAsia="方正黑体_GBK"/>
          <w:sz w:val="32"/>
          <w:szCs w:val="32"/>
        </w:rPr>
        <w:t>条　</w:t>
      </w:r>
      <w:r>
        <w:rPr>
          <w:rFonts w:eastAsia="方正仿宋_GBK"/>
          <w:sz w:val="32"/>
          <w:szCs w:val="32"/>
        </w:rPr>
        <w:t>农村产权交易应当遵循依法、自愿、有偿、公开、公平、公正的原则。</w:t>
      </w:r>
    </w:p>
    <w:p>
      <w:pPr>
        <w:spacing w:line="570" w:lineRule="exact"/>
        <w:ind w:firstLine="640" w:firstLineChars="200"/>
        <w:rPr>
          <w:rFonts w:eastAsia="方正仿宋_GBK"/>
          <w:sz w:val="32"/>
          <w:szCs w:val="32"/>
        </w:rPr>
      </w:pPr>
      <w:r>
        <w:rPr>
          <w:rFonts w:ascii="方正黑体_GBK" w:eastAsia="方正黑体_GBK"/>
          <w:sz w:val="32"/>
          <w:szCs w:val="32"/>
        </w:rPr>
        <w:t>第四条</w:t>
      </w:r>
      <w:r>
        <w:rPr>
          <w:rFonts w:hint="eastAsia" w:ascii="方正黑体_GBK" w:eastAsia="方正黑体_GBK"/>
          <w:sz w:val="32"/>
          <w:szCs w:val="32"/>
        </w:rPr>
        <w:t>　</w:t>
      </w:r>
      <w:r>
        <w:rPr>
          <w:rFonts w:eastAsia="方正仿宋_GBK"/>
          <w:sz w:val="32"/>
          <w:szCs w:val="32"/>
        </w:rPr>
        <w:t>农村集体经济组织拥有的农村产权依法转包、租赁、转让、入股或者以其他方式交易，以及农村集体经济组织受农户委托组织农村土地经营权流转交易，应当在市、县（区）农村产权交易中心、乡镇农村产权交易服务站（以下统称</w:t>
      </w:r>
      <w:r>
        <w:rPr>
          <w:rFonts w:hint="eastAsia" w:eastAsia="方正仿宋_GBK"/>
          <w:sz w:val="32"/>
          <w:szCs w:val="32"/>
        </w:rPr>
        <w:t>“</w:t>
      </w:r>
      <w:r>
        <w:rPr>
          <w:rFonts w:eastAsia="方正仿宋_GBK"/>
          <w:sz w:val="32"/>
          <w:szCs w:val="32"/>
        </w:rPr>
        <w:t>农村产权交易服务机构</w:t>
      </w:r>
      <w:r>
        <w:rPr>
          <w:rFonts w:hint="eastAsia" w:eastAsia="方正仿宋_GBK"/>
          <w:sz w:val="32"/>
          <w:szCs w:val="32"/>
        </w:rPr>
        <w:t>”</w:t>
      </w:r>
      <w:r>
        <w:rPr>
          <w:rFonts w:eastAsia="方正仿宋_GBK"/>
          <w:sz w:val="32"/>
          <w:szCs w:val="32"/>
        </w:rPr>
        <w:t>）进行；鼓励农村个人产权在农村产权交易服务机构依法进行交易。</w:t>
      </w:r>
    </w:p>
    <w:p>
      <w:pPr>
        <w:spacing w:line="570" w:lineRule="exact"/>
        <w:ind w:firstLine="640" w:firstLineChars="200"/>
        <w:rPr>
          <w:rFonts w:eastAsia="方正仿宋_GBK"/>
          <w:sz w:val="32"/>
          <w:szCs w:val="32"/>
        </w:rPr>
      </w:pPr>
      <w:r>
        <w:rPr>
          <w:rFonts w:ascii="方正黑体_GBK" w:eastAsia="方正黑体_GBK"/>
          <w:sz w:val="32"/>
          <w:szCs w:val="32"/>
        </w:rPr>
        <w:t>第五条</w:t>
      </w:r>
      <w:bookmarkStart w:id="0" w:name="_Hlk496704777"/>
      <w:r>
        <w:rPr>
          <w:rFonts w:hint="eastAsia" w:ascii="方正黑体_GBK" w:eastAsia="方正黑体_GBK"/>
          <w:sz w:val="32"/>
          <w:szCs w:val="32"/>
        </w:rPr>
        <w:t>　</w:t>
      </w:r>
      <w:r>
        <w:rPr>
          <w:rFonts w:eastAsia="方正仿宋_GBK"/>
          <w:sz w:val="32"/>
          <w:szCs w:val="32"/>
        </w:rPr>
        <w:t>市农村产权交易管理领导小组</w:t>
      </w:r>
      <w:bookmarkEnd w:id="0"/>
      <w:r>
        <w:rPr>
          <w:rFonts w:eastAsia="方正仿宋_GBK"/>
          <w:sz w:val="32"/>
          <w:szCs w:val="32"/>
        </w:rPr>
        <w:t>负责全市农村产权交易行为的指导、协调和决策管理。领导小组下设办公室，设在</w:t>
      </w:r>
      <w:r>
        <w:rPr>
          <w:rFonts w:hint="eastAsia" w:eastAsia="方正仿宋_GBK"/>
          <w:sz w:val="32"/>
          <w:szCs w:val="32"/>
        </w:rPr>
        <w:t>市农业农村局</w:t>
      </w:r>
      <w:r>
        <w:rPr>
          <w:rFonts w:eastAsia="方正仿宋_GBK"/>
          <w:sz w:val="32"/>
          <w:szCs w:val="32"/>
        </w:rPr>
        <w:t>，负责全市农村产权交易管理、监管等日常工作。</w:t>
      </w:r>
    </w:p>
    <w:p>
      <w:pPr>
        <w:spacing w:line="570" w:lineRule="exact"/>
        <w:ind w:firstLine="640" w:firstLineChars="200"/>
        <w:rPr>
          <w:rFonts w:eastAsia="方正仿宋_GBK"/>
          <w:sz w:val="32"/>
          <w:szCs w:val="32"/>
        </w:rPr>
      </w:pPr>
      <w:r>
        <w:rPr>
          <w:rFonts w:eastAsia="方正仿宋_GBK"/>
          <w:sz w:val="32"/>
          <w:szCs w:val="32"/>
        </w:rPr>
        <w:t>各县（区）农村产权交易管理领导小组负责对辖区内农村产权交易行为的指导、协调和决策。</w:t>
      </w:r>
    </w:p>
    <w:p>
      <w:pPr>
        <w:spacing w:line="570" w:lineRule="exact"/>
        <w:ind w:firstLine="640" w:firstLineChars="200"/>
        <w:rPr>
          <w:rFonts w:eastAsia="方正仿宋_GBK"/>
          <w:sz w:val="32"/>
          <w:szCs w:val="32"/>
        </w:rPr>
      </w:pPr>
      <w:r>
        <w:rPr>
          <w:rFonts w:eastAsia="方正仿宋_GBK"/>
          <w:sz w:val="32"/>
          <w:szCs w:val="32"/>
        </w:rPr>
        <w:t>市财政、农业、林业、公管、水利、</w:t>
      </w:r>
      <w:r>
        <w:rPr>
          <w:rFonts w:hint="eastAsia" w:eastAsia="方正仿宋_GBK"/>
          <w:sz w:val="32"/>
          <w:szCs w:val="32"/>
        </w:rPr>
        <w:t>自然资源</w:t>
      </w:r>
      <w:r>
        <w:rPr>
          <w:rFonts w:eastAsia="方正仿宋_GBK"/>
          <w:sz w:val="32"/>
          <w:szCs w:val="32"/>
        </w:rPr>
        <w:t>、住建、知识产权、文化、金融等相关部门以及黄山信投集团，应当按照各自职责，分品种或联合制定产权交易细则，并做好农村产权交易管理工作。</w:t>
      </w:r>
    </w:p>
    <w:p>
      <w:pPr>
        <w:numPr>
          <w:ilvl w:val="0"/>
          <w:numId w:val="1"/>
        </w:numPr>
        <w:spacing w:line="570" w:lineRule="exact"/>
        <w:rPr>
          <w:rFonts w:ascii="方正楷体_GBK" w:hAnsi="宋体" w:eastAsia="方正楷体_GBK"/>
          <w:b/>
          <w:sz w:val="32"/>
          <w:szCs w:val="32"/>
        </w:rPr>
      </w:pPr>
      <w:r>
        <w:rPr>
          <w:rFonts w:hint="eastAsia" w:ascii="方正楷体_GBK" w:hAnsi="宋体" w:eastAsia="方正楷体_GBK"/>
          <w:b/>
          <w:sz w:val="32"/>
          <w:szCs w:val="32"/>
        </w:rPr>
        <w:t xml:space="preserve"> 交易机构</w:t>
      </w:r>
    </w:p>
    <w:p>
      <w:pPr>
        <w:spacing w:line="570" w:lineRule="exact"/>
        <w:ind w:firstLine="640" w:firstLineChars="200"/>
        <w:rPr>
          <w:rFonts w:eastAsia="方正仿宋_GBK"/>
          <w:sz w:val="32"/>
          <w:szCs w:val="32"/>
        </w:rPr>
      </w:pPr>
      <w:r>
        <w:rPr>
          <w:rFonts w:ascii="方正黑体_GBK" w:eastAsia="方正黑体_GBK"/>
          <w:sz w:val="32"/>
          <w:szCs w:val="32"/>
        </w:rPr>
        <w:t>第六条</w:t>
      </w:r>
      <w:r>
        <w:rPr>
          <w:rFonts w:hint="eastAsia" w:ascii="方正黑体_GBK" w:eastAsia="方正黑体_GBK"/>
          <w:sz w:val="32"/>
          <w:szCs w:val="32"/>
        </w:rPr>
        <w:t>　</w:t>
      </w:r>
      <w:r>
        <w:rPr>
          <w:rFonts w:eastAsia="方正仿宋_GBK"/>
          <w:sz w:val="32"/>
          <w:szCs w:val="32"/>
        </w:rPr>
        <w:t>黄山市农村产权交易中心（以下简称</w:t>
      </w:r>
      <w:r>
        <w:rPr>
          <w:rFonts w:hint="eastAsia" w:eastAsia="方正仿宋_GBK"/>
          <w:sz w:val="32"/>
          <w:szCs w:val="32"/>
        </w:rPr>
        <w:t>“</w:t>
      </w:r>
      <w:r>
        <w:rPr>
          <w:rFonts w:eastAsia="方正仿宋_GBK"/>
          <w:sz w:val="32"/>
          <w:szCs w:val="32"/>
        </w:rPr>
        <w:t>市农权交易中心</w:t>
      </w:r>
      <w:r>
        <w:rPr>
          <w:rFonts w:hint="eastAsia" w:eastAsia="方正仿宋_GBK"/>
          <w:sz w:val="32"/>
          <w:szCs w:val="32"/>
        </w:rPr>
        <w:t>”</w:t>
      </w:r>
      <w:r>
        <w:rPr>
          <w:rFonts w:eastAsia="方正仿宋_GBK"/>
          <w:sz w:val="32"/>
          <w:szCs w:val="32"/>
        </w:rPr>
        <w:t>）是依托江南林权交易所组建的全市农村产权交易服务机构。其主要职责是：</w:t>
      </w:r>
    </w:p>
    <w:p>
      <w:pPr>
        <w:spacing w:line="570" w:lineRule="exact"/>
        <w:ind w:firstLine="640" w:firstLineChars="200"/>
        <w:rPr>
          <w:rFonts w:eastAsia="方正仿宋_GBK"/>
          <w:sz w:val="32"/>
          <w:szCs w:val="32"/>
        </w:rPr>
      </w:pPr>
      <w:r>
        <w:rPr>
          <w:rFonts w:eastAsia="方正仿宋_GBK"/>
          <w:sz w:val="32"/>
          <w:szCs w:val="32"/>
        </w:rPr>
        <w:t>（一）建立全市农村产权交易管理系统，实现信息发布、交易审核、网络竞价、产权交易、数据管理等功能。</w:t>
      </w:r>
    </w:p>
    <w:p>
      <w:pPr>
        <w:spacing w:line="570" w:lineRule="exact"/>
        <w:ind w:firstLine="640" w:firstLineChars="200"/>
        <w:rPr>
          <w:rFonts w:eastAsia="方正仿宋_GBK"/>
          <w:sz w:val="32"/>
          <w:szCs w:val="32"/>
        </w:rPr>
      </w:pPr>
      <w:r>
        <w:rPr>
          <w:rFonts w:eastAsia="方正仿宋_GBK"/>
          <w:sz w:val="32"/>
          <w:szCs w:val="32"/>
        </w:rPr>
        <w:t>（二）为全市农村产权交易网络服务提供技术支撑和系统维护。</w:t>
      </w:r>
    </w:p>
    <w:p>
      <w:pPr>
        <w:spacing w:line="570" w:lineRule="exact"/>
        <w:ind w:firstLine="640" w:firstLineChars="200"/>
        <w:rPr>
          <w:rFonts w:eastAsia="方正仿宋_GBK"/>
          <w:sz w:val="32"/>
          <w:szCs w:val="32"/>
        </w:rPr>
      </w:pPr>
      <w:r>
        <w:rPr>
          <w:rFonts w:eastAsia="方正仿宋_GBK"/>
          <w:sz w:val="32"/>
          <w:szCs w:val="32"/>
        </w:rPr>
        <w:t>（三）</w:t>
      </w:r>
      <w:r>
        <w:rPr>
          <w:rFonts w:hint="eastAsia" w:eastAsia="方正仿宋_GBK"/>
          <w:sz w:val="32"/>
          <w:szCs w:val="32"/>
        </w:rPr>
        <w:t>协助</w:t>
      </w:r>
      <w:r>
        <w:rPr>
          <w:rFonts w:eastAsia="方正仿宋_GBK"/>
          <w:sz w:val="32"/>
          <w:szCs w:val="32"/>
        </w:rPr>
        <w:t>制定农村产权交易管理制度、合同文本、鉴证程序、服务标准等管理细则。</w:t>
      </w:r>
    </w:p>
    <w:p>
      <w:pPr>
        <w:spacing w:line="570" w:lineRule="exact"/>
        <w:ind w:firstLine="640" w:firstLineChars="200"/>
        <w:rPr>
          <w:rFonts w:eastAsia="方正仿宋_GBK"/>
          <w:sz w:val="32"/>
          <w:szCs w:val="32"/>
        </w:rPr>
      </w:pPr>
      <w:r>
        <w:rPr>
          <w:rFonts w:eastAsia="方正仿宋_GBK"/>
          <w:sz w:val="32"/>
          <w:szCs w:val="32"/>
        </w:rPr>
        <w:t>（四）负责开展农村产权交易</w:t>
      </w:r>
      <w:r>
        <w:rPr>
          <w:rFonts w:hint="eastAsia" w:eastAsia="方正仿宋_GBK"/>
          <w:sz w:val="32"/>
          <w:szCs w:val="32"/>
        </w:rPr>
        <w:t>系统操作</w:t>
      </w:r>
      <w:r>
        <w:rPr>
          <w:rFonts w:eastAsia="方正仿宋_GBK"/>
          <w:sz w:val="32"/>
          <w:szCs w:val="32"/>
        </w:rPr>
        <w:t>培训，受理审核</w:t>
      </w:r>
      <w:r>
        <w:rPr>
          <w:rFonts w:hint="eastAsia" w:eastAsia="方正仿宋_GBK"/>
          <w:sz w:val="32"/>
          <w:szCs w:val="32"/>
        </w:rPr>
        <w:t>职责范围内的项目</w:t>
      </w:r>
      <w:r>
        <w:rPr>
          <w:rFonts w:eastAsia="方正仿宋_GBK"/>
          <w:sz w:val="32"/>
          <w:szCs w:val="32"/>
        </w:rPr>
        <w:t>流转申请，发布流转交易信息和成交公告，组织实施流转交易，统一出具《黄山市农村产权交易鉴证书》（以下简称</w:t>
      </w:r>
      <w:r>
        <w:rPr>
          <w:rFonts w:hint="eastAsia" w:eastAsia="方正仿宋_GBK"/>
          <w:sz w:val="32"/>
          <w:szCs w:val="32"/>
        </w:rPr>
        <w:t>“</w:t>
      </w:r>
      <w:r>
        <w:rPr>
          <w:rFonts w:eastAsia="方正仿宋_GBK"/>
          <w:sz w:val="32"/>
          <w:szCs w:val="32"/>
        </w:rPr>
        <w:t>交易鉴证书</w:t>
      </w:r>
      <w:r>
        <w:rPr>
          <w:rFonts w:hint="eastAsia" w:eastAsia="方正仿宋_GBK"/>
          <w:sz w:val="32"/>
          <w:szCs w:val="32"/>
        </w:rPr>
        <w:t>”</w:t>
      </w:r>
      <w:r>
        <w:rPr>
          <w:rFonts w:eastAsia="方正仿宋_GBK"/>
          <w:sz w:val="32"/>
          <w:szCs w:val="32"/>
        </w:rPr>
        <w:t>），指导县（区）、乡镇交易服务机构开展交易服务。</w:t>
      </w:r>
    </w:p>
    <w:p>
      <w:pPr>
        <w:spacing w:line="570" w:lineRule="exact"/>
        <w:ind w:firstLine="640" w:firstLineChars="200"/>
        <w:rPr>
          <w:rFonts w:eastAsia="方正仿宋_GBK"/>
          <w:sz w:val="32"/>
          <w:szCs w:val="32"/>
        </w:rPr>
      </w:pPr>
      <w:r>
        <w:rPr>
          <w:rFonts w:eastAsia="方正仿宋_GBK"/>
          <w:sz w:val="32"/>
          <w:szCs w:val="32"/>
        </w:rPr>
        <w:t>（五）为市级农村产权交易提供交易场地、设施设备、和代办等服务。</w:t>
      </w:r>
    </w:p>
    <w:p>
      <w:pPr>
        <w:spacing w:line="570" w:lineRule="exact"/>
        <w:ind w:firstLine="640" w:firstLineChars="200"/>
        <w:rPr>
          <w:rFonts w:eastAsia="方正仿宋_GBK"/>
          <w:sz w:val="32"/>
          <w:szCs w:val="32"/>
        </w:rPr>
      </w:pPr>
      <w:r>
        <w:rPr>
          <w:rFonts w:eastAsia="方正仿宋_GBK"/>
          <w:sz w:val="32"/>
          <w:szCs w:val="32"/>
        </w:rPr>
        <w:t>（六）</w:t>
      </w:r>
      <w:r>
        <w:rPr>
          <w:rFonts w:hint="eastAsia" w:eastAsia="方正仿宋_GBK"/>
          <w:sz w:val="32"/>
          <w:szCs w:val="32"/>
        </w:rPr>
        <w:t>加强业务拓展，建立合作机制。通过评估事务所、律师事务所、担保融资机构等合作单位提供相应的配套服务。</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（七）负责农村产权交易活动情况的统计、分析、反馈及相关资料的存档，并与公共资源交易管理系统共享信息。</w:t>
      </w:r>
    </w:p>
    <w:p>
      <w:pPr>
        <w:spacing w:line="570" w:lineRule="exact"/>
        <w:ind w:firstLine="640" w:firstLineChars="200"/>
        <w:rPr>
          <w:rFonts w:eastAsia="方正仿宋_GBK"/>
          <w:sz w:val="32"/>
          <w:szCs w:val="32"/>
        </w:rPr>
      </w:pPr>
      <w:r>
        <w:rPr>
          <w:rFonts w:eastAsia="方正仿宋_GBK"/>
          <w:sz w:val="32"/>
          <w:szCs w:val="32"/>
        </w:rPr>
        <w:t>（八）依法承担的其他职责。</w:t>
      </w:r>
    </w:p>
    <w:p>
      <w:pPr>
        <w:spacing w:line="570" w:lineRule="exact"/>
        <w:ind w:firstLine="640" w:firstLineChars="200"/>
        <w:rPr>
          <w:rFonts w:eastAsia="方正仿宋_GBK"/>
          <w:sz w:val="32"/>
          <w:szCs w:val="32"/>
        </w:rPr>
      </w:pPr>
      <w:r>
        <w:rPr>
          <w:rFonts w:ascii="方正黑体_GBK" w:eastAsia="方正黑体_GBK"/>
          <w:sz w:val="32"/>
          <w:szCs w:val="32"/>
        </w:rPr>
        <w:t>第七条</w:t>
      </w:r>
      <w:r>
        <w:rPr>
          <w:rFonts w:hint="eastAsia" w:ascii="方正黑体_GBK" w:eastAsia="方正黑体_GBK"/>
          <w:sz w:val="32"/>
          <w:szCs w:val="32"/>
        </w:rPr>
        <w:t>　</w:t>
      </w:r>
      <w:r>
        <w:rPr>
          <w:rFonts w:eastAsia="方正仿宋_GBK"/>
          <w:sz w:val="32"/>
          <w:szCs w:val="32"/>
        </w:rPr>
        <w:t>各县（区，屯溪区</w:t>
      </w:r>
      <w:r>
        <w:rPr>
          <w:rFonts w:hint="eastAsia" w:eastAsia="方正仿宋_GBK"/>
          <w:sz w:val="32"/>
          <w:szCs w:val="32"/>
        </w:rPr>
        <w:t>、高新区</w:t>
      </w:r>
      <w:r>
        <w:rPr>
          <w:rFonts w:eastAsia="方正仿宋_GBK"/>
          <w:sz w:val="32"/>
          <w:szCs w:val="32"/>
        </w:rPr>
        <w:t>除外）整合财政、农业、林业、公管、</w:t>
      </w:r>
      <w:r>
        <w:rPr>
          <w:rFonts w:hint="eastAsia" w:eastAsia="方正仿宋_GBK"/>
          <w:sz w:val="32"/>
          <w:szCs w:val="32"/>
        </w:rPr>
        <w:t>自然资源</w:t>
      </w:r>
      <w:r>
        <w:rPr>
          <w:rFonts w:eastAsia="方正仿宋_GBK"/>
          <w:sz w:val="32"/>
          <w:szCs w:val="32"/>
        </w:rPr>
        <w:t>、水利等部门资源，成立</w:t>
      </w:r>
      <w:bookmarkStart w:id="1" w:name="_Hlk496710369"/>
      <w:r>
        <w:rPr>
          <w:rFonts w:hint="eastAsia" w:eastAsia="方正仿宋_GBK"/>
          <w:sz w:val="32"/>
          <w:szCs w:val="32"/>
        </w:rPr>
        <w:t>“</w:t>
      </w:r>
      <w:r>
        <w:rPr>
          <w:rFonts w:eastAsia="方正仿宋_GBK"/>
          <w:sz w:val="32"/>
          <w:szCs w:val="32"/>
        </w:rPr>
        <w:t>ＸＸ县（区）江南农村产权交易分中心</w:t>
      </w:r>
      <w:bookmarkEnd w:id="1"/>
      <w:r>
        <w:rPr>
          <w:rFonts w:hint="eastAsia" w:eastAsia="方正仿宋_GBK"/>
          <w:sz w:val="32"/>
          <w:szCs w:val="32"/>
        </w:rPr>
        <w:t>”</w:t>
      </w:r>
      <w:r>
        <w:rPr>
          <w:rFonts w:eastAsia="方正仿宋_GBK"/>
          <w:sz w:val="32"/>
          <w:szCs w:val="32"/>
        </w:rPr>
        <w:t>（以下简称</w:t>
      </w:r>
      <w:r>
        <w:rPr>
          <w:rFonts w:hint="eastAsia" w:eastAsia="方正仿宋_GBK"/>
          <w:sz w:val="32"/>
          <w:szCs w:val="32"/>
        </w:rPr>
        <w:t>“</w:t>
      </w:r>
      <w:r>
        <w:rPr>
          <w:rFonts w:eastAsia="方正仿宋_GBK"/>
          <w:sz w:val="32"/>
          <w:szCs w:val="32"/>
        </w:rPr>
        <w:t>县（区）农权交易</w:t>
      </w:r>
      <w:r>
        <w:rPr>
          <w:rFonts w:hint="eastAsia" w:eastAsia="方正仿宋_GBK"/>
          <w:sz w:val="32"/>
          <w:szCs w:val="32"/>
        </w:rPr>
        <w:t>分</w:t>
      </w:r>
      <w:r>
        <w:rPr>
          <w:rFonts w:eastAsia="方正仿宋_GBK"/>
          <w:sz w:val="32"/>
          <w:szCs w:val="32"/>
        </w:rPr>
        <w:t>中心</w:t>
      </w:r>
      <w:r>
        <w:rPr>
          <w:rFonts w:hint="eastAsia" w:eastAsia="方正仿宋_GBK"/>
          <w:sz w:val="32"/>
          <w:szCs w:val="32"/>
        </w:rPr>
        <w:t>”</w:t>
      </w:r>
      <w:r>
        <w:rPr>
          <w:rFonts w:eastAsia="方正仿宋_GBK"/>
          <w:sz w:val="32"/>
          <w:szCs w:val="32"/>
        </w:rPr>
        <w:t>），作为市农权交易中心分支机构，负责提供县级农村产权流转交易场所设施，组织开展农村产权的流转交易、融资抵押、担保咨询、信用评估等，并指导乡镇农权交易服务站规范开展交易工作。</w:t>
      </w:r>
    </w:p>
    <w:p>
      <w:pPr>
        <w:spacing w:line="570" w:lineRule="exact"/>
        <w:ind w:firstLine="640" w:firstLineChars="200"/>
        <w:rPr>
          <w:rFonts w:eastAsia="方正仿宋_GBK"/>
          <w:sz w:val="32"/>
          <w:szCs w:val="32"/>
        </w:rPr>
      </w:pPr>
      <w:r>
        <w:rPr>
          <w:rFonts w:eastAsia="方正仿宋_GBK"/>
          <w:sz w:val="32"/>
          <w:szCs w:val="32"/>
        </w:rPr>
        <w:t>各乡镇整合农村土地流转服务中心、林业工作站、为民服务中心、招标办等资源，设立</w:t>
      </w:r>
      <w:r>
        <w:rPr>
          <w:rFonts w:hint="eastAsia" w:eastAsia="方正仿宋_GBK"/>
          <w:sz w:val="32"/>
          <w:szCs w:val="32"/>
        </w:rPr>
        <w:t>“</w:t>
      </w:r>
      <w:r>
        <w:rPr>
          <w:rFonts w:eastAsia="方正仿宋_GBK"/>
          <w:sz w:val="32"/>
          <w:szCs w:val="32"/>
        </w:rPr>
        <w:t>ＸＸ乡镇江南农村产权交易服务站</w:t>
      </w:r>
      <w:r>
        <w:rPr>
          <w:rFonts w:hint="eastAsia" w:eastAsia="方正仿宋_GBK"/>
          <w:sz w:val="32"/>
          <w:szCs w:val="32"/>
        </w:rPr>
        <w:t>”</w:t>
      </w:r>
      <w:r>
        <w:rPr>
          <w:rFonts w:eastAsia="方正仿宋_GBK"/>
          <w:sz w:val="32"/>
          <w:szCs w:val="32"/>
        </w:rPr>
        <w:t>（以下简称</w:t>
      </w:r>
      <w:r>
        <w:rPr>
          <w:rFonts w:hint="eastAsia" w:eastAsia="方正仿宋_GBK"/>
          <w:sz w:val="32"/>
          <w:szCs w:val="32"/>
        </w:rPr>
        <w:t>“</w:t>
      </w:r>
      <w:r>
        <w:rPr>
          <w:rFonts w:eastAsia="方正仿宋_GBK"/>
          <w:sz w:val="32"/>
          <w:szCs w:val="32"/>
        </w:rPr>
        <w:t>乡镇农权交易服务站</w:t>
      </w:r>
      <w:r>
        <w:rPr>
          <w:rFonts w:hint="eastAsia" w:eastAsia="方正仿宋_GBK"/>
          <w:sz w:val="32"/>
          <w:szCs w:val="32"/>
        </w:rPr>
        <w:t>”</w:t>
      </w:r>
      <w:r>
        <w:rPr>
          <w:rFonts w:eastAsia="方正仿宋_GBK"/>
          <w:sz w:val="32"/>
          <w:szCs w:val="32"/>
        </w:rPr>
        <w:t>），负责农村产权交易信息的收集整理、组织交易、材料初审、业务咨询、信用评估、纠纷协调处理等事项以及农村产权交易服务机构委托的其他服务事项。</w:t>
      </w:r>
    </w:p>
    <w:p>
      <w:pPr>
        <w:spacing w:line="570" w:lineRule="exact"/>
        <w:ind w:firstLine="640" w:firstLineChars="200"/>
        <w:rPr>
          <w:rFonts w:eastAsia="方正仿宋_GBK"/>
          <w:sz w:val="32"/>
          <w:szCs w:val="32"/>
        </w:rPr>
      </w:pPr>
      <w:r>
        <w:rPr>
          <w:rFonts w:ascii="方正黑体_GBK" w:eastAsia="方正黑体_GBK"/>
          <w:sz w:val="32"/>
          <w:szCs w:val="32"/>
        </w:rPr>
        <w:t>第八条</w:t>
      </w:r>
      <w:r>
        <w:rPr>
          <w:rFonts w:hint="eastAsia" w:ascii="方正黑体_GBK" w:eastAsia="方正黑体_GBK"/>
          <w:sz w:val="32"/>
          <w:szCs w:val="32"/>
        </w:rPr>
        <w:t>　</w:t>
      </w:r>
      <w:r>
        <w:rPr>
          <w:rFonts w:hint="eastAsia" w:eastAsia="方正仿宋_GBK"/>
          <w:sz w:val="32"/>
          <w:szCs w:val="32"/>
        </w:rPr>
        <w:t>市农权交易中心负责屯溪区、高新区连片</w:t>
      </w:r>
      <w:r>
        <w:rPr>
          <w:rFonts w:eastAsia="方正仿宋_GBK"/>
          <w:sz w:val="32"/>
          <w:szCs w:val="32"/>
        </w:rPr>
        <w:t>100</w:t>
      </w:r>
      <w:r>
        <w:rPr>
          <w:rFonts w:hint="eastAsia" w:eastAsia="方正仿宋_GBK"/>
          <w:sz w:val="32"/>
          <w:szCs w:val="32"/>
        </w:rPr>
        <w:t>亩及以上、单笔标的</w:t>
      </w:r>
      <w:r>
        <w:rPr>
          <w:rFonts w:eastAsia="方正仿宋_GBK"/>
          <w:sz w:val="32"/>
          <w:szCs w:val="32"/>
        </w:rPr>
        <w:t>3</w:t>
      </w:r>
      <w:r>
        <w:rPr>
          <w:rFonts w:hint="eastAsia" w:eastAsia="方正仿宋_GBK"/>
          <w:sz w:val="32"/>
          <w:szCs w:val="32"/>
        </w:rPr>
        <w:t>万元及以上的农村产权交易；县（区）农权交易分中心负责本辖区内连片</w:t>
      </w:r>
      <w:r>
        <w:rPr>
          <w:rFonts w:eastAsia="方正仿宋_GBK"/>
          <w:sz w:val="32"/>
          <w:szCs w:val="32"/>
        </w:rPr>
        <w:t>100</w:t>
      </w:r>
      <w:r>
        <w:rPr>
          <w:rFonts w:hint="eastAsia" w:eastAsia="方正仿宋_GBK"/>
          <w:sz w:val="32"/>
          <w:szCs w:val="32"/>
        </w:rPr>
        <w:t>亩及以上和单笔标的</w:t>
      </w:r>
      <w:r>
        <w:rPr>
          <w:rFonts w:eastAsia="方正仿宋_GBK"/>
          <w:sz w:val="32"/>
          <w:szCs w:val="32"/>
        </w:rPr>
        <w:t>3</w:t>
      </w:r>
      <w:r>
        <w:rPr>
          <w:rFonts w:hint="eastAsia" w:eastAsia="方正仿宋_GBK"/>
          <w:sz w:val="32"/>
          <w:szCs w:val="32"/>
        </w:rPr>
        <w:t>万元及以上的农村产权交易；乡镇农权交易服务站负责本辖区内连片</w:t>
      </w:r>
      <w:r>
        <w:rPr>
          <w:rFonts w:eastAsia="方正仿宋_GBK"/>
          <w:sz w:val="32"/>
          <w:szCs w:val="32"/>
        </w:rPr>
        <w:t>100</w:t>
      </w:r>
      <w:r>
        <w:rPr>
          <w:rFonts w:hint="eastAsia" w:eastAsia="方正仿宋_GBK"/>
          <w:sz w:val="32"/>
          <w:szCs w:val="32"/>
        </w:rPr>
        <w:t>亩以下和单笔标的</w:t>
      </w:r>
      <w:r>
        <w:rPr>
          <w:rFonts w:eastAsia="方正仿宋_GBK"/>
          <w:sz w:val="32"/>
          <w:szCs w:val="32"/>
        </w:rPr>
        <w:t>3</w:t>
      </w:r>
      <w:r>
        <w:rPr>
          <w:rFonts w:hint="eastAsia" w:eastAsia="方正仿宋_GBK"/>
          <w:sz w:val="32"/>
          <w:szCs w:val="32"/>
        </w:rPr>
        <w:t>万元以下的农村产权交易。</w:t>
      </w:r>
    </w:p>
    <w:p>
      <w:pPr>
        <w:spacing w:line="570" w:lineRule="exact"/>
        <w:ind w:firstLine="640" w:firstLineChars="200"/>
        <w:rPr>
          <w:rFonts w:eastAsia="方正仿宋_GBK"/>
          <w:sz w:val="32"/>
          <w:szCs w:val="32"/>
        </w:rPr>
      </w:pPr>
      <w:r>
        <w:rPr>
          <w:rFonts w:ascii="方正黑体_GBK" w:eastAsia="方正黑体_GBK"/>
          <w:sz w:val="32"/>
          <w:szCs w:val="32"/>
        </w:rPr>
        <w:t>第九条</w:t>
      </w:r>
      <w:r>
        <w:rPr>
          <w:rFonts w:hint="eastAsia" w:ascii="方正黑体_GBK" w:eastAsia="方正黑体_GBK"/>
          <w:sz w:val="32"/>
          <w:szCs w:val="32"/>
        </w:rPr>
        <w:t>　</w:t>
      </w:r>
      <w:r>
        <w:rPr>
          <w:rFonts w:eastAsia="方正仿宋_GBK"/>
          <w:sz w:val="32"/>
          <w:szCs w:val="32"/>
        </w:rPr>
        <w:t>市、县（区）、乡镇三级相关职能部门应当引导督促农村产权交易到农村产权交易服务机构进行，并在其服务窗口增加农村产权交易服务项目，提供确权赋能、资格审查、变更登记、查询交易标的权属性质等服务。</w:t>
      </w:r>
    </w:p>
    <w:p>
      <w:p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第三章  交易范围、方式和程序</w:t>
      </w:r>
    </w:p>
    <w:p>
      <w:pPr>
        <w:spacing w:line="570" w:lineRule="exact"/>
        <w:ind w:firstLine="640" w:firstLineChars="200"/>
        <w:rPr>
          <w:rFonts w:eastAsia="方正仿宋_GBK"/>
          <w:sz w:val="32"/>
          <w:szCs w:val="32"/>
        </w:rPr>
      </w:pPr>
      <w:r>
        <w:rPr>
          <w:rFonts w:ascii="方正黑体_GBK" w:eastAsia="方正黑体_GBK"/>
          <w:sz w:val="32"/>
          <w:szCs w:val="32"/>
        </w:rPr>
        <w:t>第十条</w:t>
      </w:r>
      <w:r>
        <w:rPr>
          <w:rFonts w:hint="eastAsia" w:ascii="方正黑体_GBK" w:eastAsia="方正黑体_GBK"/>
          <w:sz w:val="32"/>
          <w:szCs w:val="32"/>
        </w:rPr>
        <w:t>　</w:t>
      </w:r>
      <w:r>
        <w:rPr>
          <w:rFonts w:eastAsia="方正仿宋_GBK"/>
          <w:sz w:val="32"/>
          <w:szCs w:val="32"/>
        </w:rPr>
        <w:t>农村产权交易</w:t>
      </w:r>
      <w:r>
        <w:rPr>
          <w:rFonts w:hint="eastAsia" w:eastAsia="方正仿宋_GBK"/>
          <w:sz w:val="32"/>
          <w:szCs w:val="32"/>
        </w:rPr>
        <w:t>应当进场交易的品种和</w:t>
      </w:r>
      <w:r>
        <w:rPr>
          <w:rFonts w:eastAsia="方正仿宋_GBK"/>
          <w:sz w:val="32"/>
          <w:szCs w:val="32"/>
        </w:rPr>
        <w:t>范围主要包括：</w:t>
      </w:r>
    </w:p>
    <w:p>
      <w:pPr>
        <w:spacing w:line="570" w:lineRule="exact"/>
        <w:ind w:firstLine="640" w:firstLineChars="200"/>
        <w:rPr>
          <w:rFonts w:eastAsia="方正仿宋_GBK"/>
          <w:sz w:val="32"/>
          <w:szCs w:val="32"/>
        </w:rPr>
      </w:pPr>
      <w:r>
        <w:rPr>
          <w:rFonts w:eastAsia="方正仿宋_GBK"/>
          <w:sz w:val="32"/>
          <w:szCs w:val="32"/>
        </w:rPr>
        <w:t>（一）农村土地承包经营权。</w:t>
      </w:r>
    </w:p>
    <w:p>
      <w:pPr>
        <w:spacing w:line="570" w:lineRule="exact"/>
        <w:ind w:firstLine="640" w:firstLineChars="200"/>
        <w:rPr>
          <w:rFonts w:eastAsia="方正仿宋_GBK"/>
          <w:sz w:val="32"/>
          <w:szCs w:val="32"/>
        </w:rPr>
      </w:pPr>
      <w:r>
        <w:rPr>
          <w:rFonts w:eastAsia="方正仿宋_GBK"/>
          <w:sz w:val="32"/>
          <w:szCs w:val="32"/>
        </w:rPr>
        <w:t>（二）林地使用权和林木所有权、使用权。</w:t>
      </w:r>
    </w:p>
    <w:p>
      <w:pPr>
        <w:spacing w:line="570" w:lineRule="exact"/>
        <w:ind w:firstLine="640" w:firstLineChars="200"/>
        <w:rPr>
          <w:rFonts w:eastAsia="方正仿宋_GBK"/>
          <w:sz w:val="32"/>
          <w:szCs w:val="32"/>
        </w:rPr>
      </w:pPr>
      <w:r>
        <w:rPr>
          <w:rFonts w:eastAsia="方正仿宋_GBK"/>
          <w:sz w:val="32"/>
          <w:szCs w:val="32"/>
        </w:rPr>
        <w:t>（三）荒山、荒沟、荒丘、荒滩等</w:t>
      </w:r>
      <w:r>
        <w:rPr>
          <w:rFonts w:hint="eastAsia" w:eastAsia="方正仿宋_GBK"/>
          <w:sz w:val="32"/>
          <w:szCs w:val="32"/>
        </w:rPr>
        <w:t>“</w:t>
      </w:r>
      <w:r>
        <w:rPr>
          <w:rFonts w:eastAsia="方正仿宋_GBK"/>
          <w:sz w:val="32"/>
          <w:szCs w:val="32"/>
        </w:rPr>
        <w:t>四荒地</w:t>
      </w:r>
      <w:r>
        <w:rPr>
          <w:rFonts w:hint="eastAsia" w:eastAsia="方正仿宋_GBK"/>
          <w:sz w:val="32"/>
          <w:szCs w:val="32"/>
        </w:rPr>
        <w:t>”</w:t>
      </w:r>
      <w:r>
        <w:rPr>
          <w:rFonts w:eastAsia="方正仿宋_GBK"/>
          <w:sz w:val="32"/>
          <w:szCs w:val="32"/>
        </w:rPr>
        <w:t>及其他农村集体经济组织未发包的土地经营权。</w:t>
      </w:r>
    </w:p>
    <w:p>
      <w:pPr>
        <w:spacing w:line="570" w:lineRule="exact"/>
        <w:ind w:firstLine="640" w:firstLineChars="200"/>
        <w:rPr>
          <w:rFonts w:eastAsia="方正仿宋_GBK"/>
          <w:sz w:val="32"/>
          <w:szCs w:val="32"/>
        </w:rPr>
      </w:pPr>
      <w:r>
        <w:rPr>
          <w:rFonts w:eastAsia="方正仿宋_GBK"/>
          <w:sz w:val="32"/>
          <w:szCs w:val="32"/>
        </w:rPr>
        <w:t>（四）农村集体经营性资产（不含土地）的所有权和使用权。</w:t>
      </w:r>
    </w:p>
    <w:p>
      <w:pPr>
        <w:spacing w:line="570" w:lineRule="exact"/>
        <w:ind w:firstLine="640" w:firstLineChars="200"/>
        <w:rPr>
          <w:rFonts w:eastAsia="方正仿宋_GBK"/>
          <w:sz w:val="32"/>
          <w:szCs w:val="32"/>
        </w:rPr>
      </w:pPr>
      <w:r>
        <w:rPr>
          <w:rFonts w:eastAsia="方正仿宋_GBK"/>
          <w:sz w:val="32"/>
          <w:szCs w:val="32"/>
        </w:rPr>
        <w:t>（五）农业生产设施设备所有权、使用权。</w:t>
      </w:r>
    </w:p>
    <w:p>
      <w:pPr>
        <w:spacing w:line="570" w:lineRule="exact"/>
        <w:ind w:firstLine="640" w:firstLineChars="200"/>
        <w:rPr>
          <w:rFonts w:eastAsia="方正仿宋_GBK"/>
          <w:sz w:val="32"/>
          <w:szCs w:val="32"/>
        </w:rPr>
      </w:pPr>
      <w:r>
        <w:rPr>
          <w:rFonts w:eastAsia="方正仿宋_GBK"/>
          <w:sz w:val="32"/>
          <w:szCs w:val="32"/>
        </w:rPr>
        <w:t>（六）小型水利设施使用权。</w:t>
      </w:r>
    </w:p>
    <w:p>
      <w:pPr>
        <w:spacing w:line="570" w:lineRule="exact"/>
        <w:ind w:firstLine="640" w:firstLineChars="200"/>
        <w:rPr>
          <w:rFonts w:eastAsia="方正仿宋_GBK"/>
          <w:sz w:val="32"/>
          <w:szCs w:val="32"/>
        </w:rPr>
      </w:pPr>
      <w:r>
        <w:rPr>
          <w:rFonts w:eastAsia="方正仿宋_GBK"/>
          <w:sz w:val="32"/>
          <w:szCs w:val="32"/>
        </w:rPr>
        <w:t>（七）依法可以交易的古民居产权和农房使用权。</w:t>
      </w:r>
    </w:p>
    <w:p>
      <w:pPr>
        <w:spacing w:line="570" w:lineRule="exact"/>
        <w:ind w:firstLine="640" w:firstLineChars="200"/>
        <w:rPr>
          <w:rFonts w:eastAsia="方正仿宋_GBK"/>
          <w:sz w:val="32"/>
          <w:szCs w:val="32"/>
        </w:rPr>
      </w:pPr>
      <w:r>
        <w:rPr>
          <w:rFonts w:eastAsia="方正仿宋_GBK"/>
          <w:sz w:val="32"/>
          <w:szCs w:val="32"/>
        </w:rPr>
        <w:t>（八）农业类知识产权。</w:t>
      </w:r>
    </w:p>
    <w:p>
      <w:pPr>
        <w:spacing w:line="570" w:lineRule="exact"/>
        <w:ind w:firstLine="640" w:firstLineChars="200"/>
        <w:rPr>
          <w:rFonts w:eastAsia="方正仿宋_GBK"/>
          <w:sz w:val="32"/>
          <w:szCs w:val="32"/>
        </w:rPr>
      </w:pPr>
      <w:r>
        <w:rPr>
          <w:rFonts w:eastAsia="方正仿宋_GBK"/>
          <w:sz w:val="32"/>
          <w:szCs w:val="32"/>
        </w:rPr>
        <w:t>（九）</w:t>
      </w:r>
      <w:r>
        <w:rPr>
          <w:rFonts w:hint="eastAsia" w:eastAsia="方正仿宋_GBK"/>
          <w:sz w:val="32"/>
          <w:szCs w:val="32"/>
        </w:rPr>
        <w:t>使用财政或农村集体自有资金进行采购的工程和货物等（按照规定必须进入公共资源交易平台的项目除外）</w:t>
      </w:r>
    </w:p>
    <w:p>
      <w:pPr>
        <w:spacing w:line="570" w:lineRule="exact"/>
        <w:ind w:firstLine="640" w:firstLineChars="200"/>
        <w:rPr>
          <w:rFonts w:eastAsia="方正仿宋_GBK"/>
          <w:sz w:val="32"/>
          <w:szCs w:val="32"/>
        </w:rPr>
      </w:pPr>
      <w:r>
        <w:rPr>
          <w:rFonts w:hint="eastAsia" w:eastAsia="方正仿宋_GBK"/>
          <w:sz w:val="32"/>
          <w:szCs w:val="32"/>
        </w:rPr>
        <w:t>（十）</w:t>
      </w:r>
      <w:r>
        <w:rPr>
          <w:rFonts w:eastAsia="方正仿宋_GBK"/>
          <w:sz w:val="32"/>
          <w:szCs w:val="32"/>
        </w:rPr>
        <w:t>其他依法可以交易的农村产权。</w:t>
      </w:r>
    </w:p>
    <w:p>
      <w:pPr>
        <w:spacing w:line="570" w:lineRule="exact"/>
        <w:ind w:firstLine="640" w:firstLineChars="200"/>
        <w:rPr>
          <w:rFonts w:eastAsia="方正仿宋_GBK"/>
          <w:sz w:val="32"/>
          <w:szCs w:val="32"/>
        </w:rPr>
      </w:pPr>
      <w:r>
        <w:rPr>
          <w:rFonts w:hint="eastAsia" w:eastAsia="方正仿宋_GBK"/>
          <w:sz w:val="32"/>
          <w:szCs w:val="32"/>
        </w:rPr>
        <w:t>除以上交易品种外，各级农村产权交易机构应积极引导以下项目进场交易：</w:t>
      </w:r>
    </w:p>
    <w:p>
      <w:pPr>
        <w:spacing w:line="570" w:lineRule="exact"/>
        <w:ind w:firstLine="640" w:firstLineChars="200"/>
        <w:rPr>
          <w:rFonts w:eastAsia="方正仿宋_GBK"/>
          <w:sz w:val="32"/>
          <w:szCs w:val="32"/>
        </w:rPr>
      </w:pPr>
      <w:r>
        <w:rPr>
          <w:rFonts w:hint="eastAsia" w:eastAsia="方正仿宋_GBK"/>
          <w:sz w:val="32"/>
          <w:szCs w:val="32"/>
        </w:rPr>
        <w:t>（一）农户个人或家庭所有的土地经营权、林权、农业生产设施设备所有权和使用权、小型水利设施使用权、农房使用权等等。</w:t>
      </w:r>
    </w:p>
    <w:p>
      <w:pPr>
        <w:spacing w:line="570" w:lineRule="exact"/>
        <w:ind w:firstLine="640" w:firstLineChars="200"/>
        <w:rPr>
          <w:rFonts w:eastAsia="方正仿宋_GBK"/>
          <w:sz w:val="32"/>
          <w:szCs w:val="32"/>
        </w:rPr>
      </w:pPr>
      <w:r>
        <w:rPr>
          <w:rFonts w:hint="eastAsia" w:eastAsia="方正仿宋_GBK"/>
          <w:sz w:val="32"/>
          <w:szCs w:val="32"/>
        </w:rPr>
        <w:t>（二）农户、家庭农场、专业合作社及相关企业的农产品销售和采购等。</w:t>
      </w:r>
    </w:p>
    <w:p>
      <w:pPr>
        <w:spacing w:line="570" w:lineRule="exact"/>
        <w:ind w:firstLine="640" w:firstLineChars="200"/>
        <w:rPr>
          <w:rFonts w:eastAsia="方正仿宋_GBK"/>
          <w:sz w:val="32"/>
          <w:szCs w:val="32"/>
        </w:rPr>
      </w:pPr>
      <w:r>
        <w:rPr>
          <w:rFonts w:eastAsia="方正仿宋_GBK"/>
          <w:sz w:val="32"/>
          <w:szCs w:val="32"/>
        </w:rPr>
        <w:t>利用村集体土地招商引资或征占用村集体土地的，应当进入农村产权交易平台进行公示。</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农村产权交易可以采取协议、竞价、拍卖、招标等方式，也可以采取法律、法规、规章规定的其他方式。</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农村产权交易事项实行统一的十</w:t>
      </w:r>
      <w:r>
        <w:rPr>
          <w:rFonts w:hint="eastAsia" w:eastAsia="方正仿宋_GBK"/>
          <w:sz w:val="32"/>
          <w:szCs w:val="32"/>
        </w:rPr>
        <w:t>八</w:t>
      </w:r>
      <w:r>
        <w:rPr>
          <w:rFonts w:eastAsia="方正仿宋_GBK"/>
          <w:sz w:val="32"/>
          <w:szCs w:val="32"/>
        </w:rPr>
        <w:t>位项目编码，具体构成为：省市县（区）乡（镇）行政区域代码（9位）+</w:t>
      </w:r>
      <w:r>
        <w:rPr>
          <w:rFonts w:hint="eastAsia" w:eastAsia="方正仿宋_GBK"/>
          <w:sz w:val="32"/>
          <w:szCs w:val="32"/>
        </w:rPr>
        <w:t>交易品种（1位）+</w:t>
      </w:r>
      <w:r>
        <w:rPr>
          <w:rFonts w:eastAsia="方正仿宋_GBK"/>
          <w:sz w:val="32"/>
          <w:szCs w:val="32"/>
        </w:rPr>
        <w:t>年度</w:t>
      </w:r>
      <w:r>
        <w:rPr>
          <w:rFonts w:hint="eastAsia" w:eastAsia="方正仿宋_GBK"/>
          <w:sz w:val="32"/>
          <w:szCs w:val="32"/>
        </w:rPr>
        <w:t>和月份</w:t>
      </w:r>
      <w:r>
        <w:rPr>
          <w:rFonts w:eastAsia="方正仿宋_GBK"/>
          <w:sz w:val="32"/>
          <w:szCs w:val="32"/>
        </w:rPr>
        <w:t>（4位）+流水序号（4位）</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出让方申请出让产权的，应当提交下列材料：</w:t>
      </w:r>
    </w:p>
    <w:p>
      <w:pPr>
        <w:spacing w:line="570" w:lineRule="exact"/>
        <w:ind w:firstLine="640" w:firstLineChars="200"/>
        <w:rPr>
          <w:rFonts w:eastAsia="方正仿宋_GBK"/>
          <w:sz w:val="32"/>
          <w:szCs w:val="32"/>
        </w:rPr>
      </w:pPr>
      <w:r>
        <w:rPr>
          <w:rFonts w:eastAsia="方正仿宋_GBK"/>
          <w:sz w:val="32"/>
          <w:szCs w:val="32"/>
        </w:rPr>
        <w:t>（一）农村产权</w:t>
      </w:r>
      <w:r>
        <w:rPr>
          <w:rFonts w:hint="eastAsia" w:eastAsia="方正仿宋_GBK"/>
          <w:sz w:val="32"/>
          <w:szCs w:val="32"/>
        </w:rPr>
        <w:t>流转审核表</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（二）主体资格证明材料。</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）产权权属的证明材料。</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）相关决议、批准文件。</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五</w:t>
      </w:r>
      <w:r>
        <w:rPr>
          <w:rFonts w:eastAsia="方正仿宋_GBK"/>
          <w:sz w:val="32"/>
          <w:szCs w:val="32"/>
        </w:rPr>
        <w:t>）联合出让的，需提交联合出让协议书、代表推举书。</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六</w:t>
      </w:r>
      <w:r>
        <w:rPr>
          <w:rFonts w:eastAsia="方正仿宋_GBK"/>
          <w:sz w:val="32"/>
          <w:szCs w:val="32"/>
        </w:rPr>
        <w:t>）农村产权交易服务机构要求提交的其他材料。</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hint="eastAsia" w:eastAsia="方正仿宋_GBK"/>
          <w:sz w:val="32"/>
          <w:szCs w:val="32"/>
        </w:rPr>
        <w:t>农村产权交易项目材料准备齐全后，提交乡镇政府、相应部门审核，通过后由农村产权交易服务机构进行登记和信息发布。披露的产权交易信息应当符合国家有关规定</w:t>
      </w:r>
      <w:r>
        <w:rPr>
          <w:rFonts w:eastAsia="方正仿宋_GBK"/>
          <w:sz w:val="32"/>
          <w:szCs w:val="32"/>
        </w:rPr>
        <w:t>。</w:t>
      </w:r>
    </w:p>
    <w:p>
      <w:pPr>
        <w:spacing w:line="570" w:lineRule="exact"/>
        <w:ind w:firstLine="640" w:firstLineChars="200"/>
        <w:rPr>
          <w:rFonts w:eastAsia="方正仿宋_GBK"/>
          <w:sz w:val="32"/>
          <w:szCs w:val="32"/>
        </w:rPr>
      </w:pPr>
      <w:r>
        <w:rPr>
          <w:rFonts w:hint="eastAsia" w:eastAsia="方正仿宋_GBK"/>
          <w:sz w:val="32"/>
          <w:szCs w:val="32"/>
        </w:rPr>
        <w:t>第十五条  产权交易信息应当明确发布信息的期限，首次发布信息的期限不少于10个工作日。未成交的项目重新挂牌时，未变更重要交易条件的挂牌时间由出让方确定；变更重要条件的，比如项目的金额、规模、受让方资格等，挂牌时间不少于10个工作日。</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六</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意向受让方申请受让产权，应当向农村产权交易服务机构提交下列材料：</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一</w:t>
      </w:r>
      <w:r>
        <w:rPr>
          <w:rFonts w:eastAsia="方正仿宋_GBK"/>
          <w:sz w:val="32"/>
          <w:szCs w:val="32"/>
        </w:rPr>
        <w:t>）主体资格证明材料。</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）符合受让资格条件的证明文件。</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）委托代理的，需提交授权委托书及受托人身份证。</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）联合受让的，需提交联合受让协议书、代表推荐书。</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五</w:t>
      </w:r>
      <w:r>
        <w:rPr>
          <w:rFonts w:eastAsia="方正仿宋_GBK"/>
          <w:sz w:val="32"/>
          <w:szCs w:val="32"/>
        </w:rPr>
        <w:t>）农村产权交易服务机构要求提交的其他材料。</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七</w:t>
      </w:r>
      <w:r>
        <w:rPr>
          <w:rFonts w:ascii="方正黑体_GBK" w:eastAsia="方正黑体_GBK"/>
          <w:sz w:val="32"/>
          <w:szCs w:val="32"/>
        </w:rPr>
        <w:t>条</w:t>
      </w:r>
      <w:r>
        <w:rPr>
          <w:rFonts w:hint="eastAsia" w:ascii="方正黑体_GBK" w:eastAsia="方正黑体_GBK"/>
          <w:sz w:val="32"/>
          <w:szCs w:val="32"/>
        </w:rPr>
        <w:t>　</w:t>
      </w:r>
      <w:r>
        <w:rPr>
          <w:rFonts w:hint="eastAsia" w:eastAsia="方正仿宋_GBK"/>
          <w:sz w:val="32"/>
          <w:szCs w:val="32"/>
        </w:rPr>
        <w:t>披露的产权交易信息中应当要求意向受让方交纳交易保证金，保证金具体数额一般在挂牌价格的百分之五至百分之二十范围内取元的整数确定。</w:t>
      </w:r>
    </w:p>
    <w:p>
      <w:pPr>
        <w:spacing w:line="570" w:lineRule="exact"/>
        <w:ind w:firstLine="640" w:firstLineChars="200"/>
        <w:rPr>
          <w:rFonts w:eastAsia="方正仿宋_GBK"/>
          <w:sz w:val="32"/>
          <w:szCs w:val="32"/>
        </w:rPr>
      </w:pPr>
      <w:r>
        <w:rPr>
          <w:rFonts w:hint="eastAsia" w:eastAsia="方正仿宋_GBK"/>
          <w:sz w:val="32"/>
          <w:szCs w:val="32"/>
        </w:rPr>
        <w:t>意向受让方应在规定时限内交纳交易保证金；交易保证金逾期未到账的，视为放弃受让资格。负责组织具体项目交易的农村产权交易服务机构收到产权受让申请后，对有关材料进行审查，同时查看交易保证金是否足额到账；审查通过的，方可参加交易。</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十八</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农村产权交易服务机构应当指导出让方根据交易标的实际情况选择协议、现场竞价、网</w:t>
      </w:r>
      <w:r>
        <w:rPr>
          <w:rFonts w:hint="eastAsia" w:eastAsia="方正仿宋_GBK"/>
          <w:sz w:val="32"/>
          <w:szCs w:val="32"/>
        </w:rPr>
        <w:t>上</w:t>
      </w:r>
      <w:r>
        <w:rPr>
          <w:rFonts w:eastAsia="方正仿宋_GBK"/>
          <w:sz w:val="32"/>
          <w:szCs w:val="32"/>
        </w:rPr>
        <w:t>竞价、拍卖或者招标等方式组织实施交易。</w:t>
      </w:r>
    </w:p>
    <w:p>
      <w:pPr>
        <w:spacing w:line="570" w:lineRule="exact"/>
        <w:ind w:firstLine="640" w:firstLineChars="200"/>
        <w:rPr>
          <w:rFonts w:eastAsia="方正仿宋_GBK"/>
          <w:sz w:val="32"/>
          <w:szCs w:val="32"/>
        </w:rPr>
      </w:pPr>
      <w:r>
        <w:rPr>
          <w:rFonts w:eastAsia="方正仿宋_GBK"/>
          <w:sz w:val="32"/>
          <w:szCs w:val="32"/>
        </w:rPr>
        <w:t>（一）选择现场竞价、拍卖方式交易的，在项目信息发布期满时，仅征集到一个符合条件的意向受让方的，采取协议方式进行交易。</w:t>
      </w:r>
    </w:p>
    <w:p>
      <w:pPr>
        <w:spacing w:line="570" w:lineRule="exact"/>
        <w:ind w:firstLine="640" w:firstLineChars="200"/>
        <w:rPr>
          <w:rFonts w:eastAsia="方正仿宋_GBK"/>
          <w:sz w:val="32"/>
          <w:szCs w:val="32"/>
        </w:rPr>
      </w:pPr>
      <w:r>
        <w:rPr>
          <w:rFonts w:eastAsia="方正仿宋_GBK"/>
          <w:sz w:val="32"/>
          <w:szCs w:val="32"/>
        </w:rPr>
        <w:t>（二）选择现场竞价、拍卖方式交易的，在项目信息发布期满时，征集到两个及以上符合条件的意向受让方时，按信息发布的交易方式进行交易。</w:t>
      </w:r>
    </w:p>
    <w:p>
      <w:pPr>
        <w:spacing w:line="570" w:lineRule="exact"/>
        <w:ind w:firstLine="640" w:firstLineChars="200"/>
        <w:rPr>
          <w:rFonts w:eastAsia="方正仿宋_GBK"/>
          <w:sz w:val="32"/>
          <w:szCs w:val="32"/>
        </w:rPr>
      </w:pPr>
      <w:r>
        <w:rPr>
          <w:rFonts w:eastAsia="方正仿宋_GBK"/>
          <w:sz w:val="32"/>
          <w:szCs w:val="32"/>
        </w:rPr>
        <w:t>（三）选择网</w:t>
      </w:r>
      <w:r>
        <w:rPr>
          <w:rFonts w:hint="eastAsia" w:eastAsia="方正仿宋_GBK"/>
          <w:sz w:val="32"/>
          <w:szCs w:val="32"/>
        </w:rPr>
        <w:t>上</w:t>
      </w:r>
      <w:r>
        <w:rPr>
          <w:rFonts w:eastAsia="方正仿宋_GBK"/>
          <w:sz w:val="32"/>
          <w:szCs w:val="32"/>
        </w:rPr>
        <w:t>竞价</w:t>
      </w:r>
      <w:r>
        <w:rPr>
          <w:rFonts w:hint="eastAsia" w:eastAsia="方正仿宋_GBK"/>
          <w:sz w:val="32"/>
          <w:szCs w:val="32"/>
        </w:rPr>
        <w:t>方式交易</w:t>
      </w:r>
      <w:r>
        <w:rPr>
          <w:rFonts w:eastAsia="方正仿宋_GBK"/>
          <w:sz w:val="32"/>
          <w:szCs w:val="32"/>
        </w:rPr>
        <w:t xml:space="preserve">的，在项目信息发布期满时，征集到一个及以上符合条件的意向受让方时，按信息发布的网络竞价交易方式进行交易。 </w:t>
      </w:r>
    </w:p>
    <w:p>
      <w:pPr>
        <w:spacing w:line="570" w:lineRule="exact"/>
        <w:ind w:firstLine="640" w:firstLineChars="200"/>
        <w:rPr>
          <w:rFonts w:eastAsia="方正仿宋_GBK"/>
          <w:sz w:val="32"/>
          <w:szCs w:val="32"/>
        </w:rPr>
      </w:pPr>
      <w:r>
        <w:rPr>
          <w:rFonts w:hint="eastAsia" w:eastAsia="方正仿宋_GBK"/>
          <w:sz w:val="32"/>
          <w:szCs w:val="32"/>
        </w:rPr>
        <w:t>（四）选择招标方式交易的，在项目信息发布期满时，征集到三个及以上符合条件的意向受让方时，按信息发布的招标交易方式进行交易，意向受让方少于3个的，不得开标。</w:t>
      </w:r>
    </w:p>
    <w:p>
      <w:pPr>
        <w:spacing w:line="570" w:lineRule="exact"/>
        <w:ind w:firstLine="640" w:firstLineChars="200"/>
        <w:rPr>
          <w:rFonts w:ascii="方正黑体_GBK" w:eastAsia="方正黑体_GBK"/>
          <w:sz w:val="32"/>
          <w:szCs w:val="32"/>
        </w:rPr>
      </w:pPr>
      <w:r>
        <w:rPr>
          <w:rFonts w:ascii="方正黑体_GBK" w:eastAsia="方正黑体_GBK"/>
          <w:sz w:val="32"/>
          <w:szCs w:val="32"/>
        </w:rPr>
        <w:t>第</w:t>
      </w:r>
      <w:r>
        <w:rPr>
          <w:rFonts w:hint="eastAsia" w:ascii="方正黑体_GBK" w:eastAsia="方正黑体_GBK"/>
          <w:sz w:val="32"/>
          <w:szCs w:val="32"/>
        </w:rPr>
        <w:t>十九</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农村集体经济组织拥有的农村产权</w:t>
      </w:r>
      <w:r>
        <w:rPr>
          <w:rFonts w:hint="eastAsia" w:eastAsia="方正仿宋_GBK"/>
          <w:sz w:val="32"/>
          <w:szCs w:val="32"/>
        </w:rPr>
        <w:t>流转</w:t>
      </w:r>
      <w:r>
        <w:rPr>
          <w:rFonts w:eastAsia="方正仿宋_GBK"/>
          <w:sz w:val="32"/>
          <w:szCs w:val="32"/>
        </w:rPr>
        <w:t>，在同等条件下，</w:t>
      </w:r>
      <w:r>
        <w:rPr>
          <w:rFonts w:hint="eastAsia" w:eastAsia="方正仿宋_GBK"/>
          <w:sz w:val="32"/>
          <w:szCs w:val="32"/>
        </w:rPr>
        <w:t>原受让方享有优先权；不存在原受让方的，本集体经济组织成员享有优先权。</w:t>
      </w:r>
    </w:p>
    <w:p>
      <w:pPr>
        <w:spacing w:line="570" w:lineRule="exact"/>
        <w:ind w:firstLine="640" w:firstLineChars="200"/>
        <w:rPr>
          <w:rFonts w:eastAsia="方正仿宋_GBK"/>
          <w:sz w:val="32"/>
          <w:szCs w:val="32"/>
        </w:rPr>
      </w:pPr>
      <w:r>
        <w:rPr>
          <w:rFonts w:ascii="方正黑体_GBK" w:eastAsia="方正黑体_GBK"/>
          <w:sz w:val="32"/>
          <w:szCs w:val="32"/>
        </w:rPr>
        <w:t>第二十条</w:t>
      </w:r>
      <w:r>
        <w:rPr>
          <w:rFonts w:hint="eastAsia" w:ascii="方正黑体_GBK" w:eastAsia="方正黑体_GBK"/>
          <w:sz w:val="32"/>
          <w:szCs w:val="32"/>
        </w:rPr>
        <w:t>　</w:t>
      </w:r>
      <w:r>
        <w:rPr>
          <w:rFonts w:eastAsia="方正仿宋_GBK"/>
          <w:sz w:val="32"/>
          <w:szCs w:val="32"/>
        </w:rPr>
        <w:t>出让方与受让方达成产权交易意向，组织交易的农村产权交易服务机构出具《成交确认书》，并对成交结果进行3个工作日以上的公示。公示期满后无异议的，农村产权交易服务机构应在5个工作日内组织交易双方签订《农村产权交易合同》；有异议的，由各级农村产权交易服务机构审查处理。</w:t>
      </w:r>
      <w:r>
        <w:rPr>
          <w:rFonts w:hint="eastAsia" w:eastAsia="方正仿宋_GBK"/>
          <w:sz w:val="32"/>
          <w:szCs w:val="32"/>
        </w:rPr>
        <w:t>《农村产权交易合同》内容不得与项目前期公告内容相冲突。</w:t>
      </w:r>
    </w:p>
    <w:p>
      <w:pPr>
        <w:spacing w:line="570" w:lineRule="exact"/>
        <w:ind w:firstLine="640" w:firstLineChars="200"/>
        <w:rPr>
          <w:rFonts w:eastAsia="方正仿宋_GBK"/>
          <w:sz w:val="32"/>
          <w:szCs w:val="32"/>
        </w:rPr>
      </w:pPr>
      <w:r>
        <w:rPr>
          <w:rFonts w:hint="eastAsia" w:eastAsia="方正仿宋_GBK"/>
          <w:sz w:val="32"/>
          <w:szCs w:val="32"/>
        </w:rPr>
        <w:t>逾期不签订合同的视为违约，违约方按该项目保证金金额赔偿另一方损失，保证金金额低于造成的损失的，违约方另行承担赔偿责任。</w:t>
      </w:r>
    </w:p>
    <w:p>
      <w:pPr>
        <w:spacing w:line="570" w:lineRule="exact"/>
        <w:ind w:firstLine="640" w:firstLineChars="200"/>
        <w:rPr>
          <w:rFonts w:eastAsia="方正仿宋_GBK"/>
          <w:sz w:val="32"/>
          <w:szCs w:val="32"/>
        </w:rPr>
      </w:pPr>
      <w:r>
        <w:rPr>
          <w:rFonts w:hint="eastAsia" w:eastAsia="方正仿宋_GBK"/>
          <w:sz w:val="32"/>
          <w:szCs w:val="32"/>
        </w:rPr>
        <w:t>项目交易完成后，组织交易的农村产权交易服务机构应在3个工作日内，将未竞得项目的意向受让方保证金按照原金额、原账户一次性退回。竞得交易项目的受让方保证金按照项目相关约定执行。</w:t>
      </w:r>
    </w:p>
    <w:p>
      <w:pPr>
        <w:spacing w:line="570" w:lineRule="exact"/>
        <w:ind w:firstLine="640" w:firstLineChars="200"/>
        <w:rPr>
          <w:rFonts w:eastAsia="方正仿宋_GBK"/>
          <w:sz w:val="32"/>
          <w:szCs w:val="32"/>
        </w:rPr>
      </w:pPr>
      <w:r>
        <w:rPr>
          <w:rFonts w:hint="eastAsia" w:eastAsia="方正仿宋_GBK"/>
          <w:sz w:val="32"/>
          <w:szCs w:val="32"/>
        </w:rPr>
        <w:t>第二十一条  如第一受让人放弃受让资格，出让方可根据报价顺序或中标候选人名单顺序依次确定其他人为受让方，也可重新挂牌。</w:t>
      </w:r>
    </w:p>
    <w:p>
      <w:pPr>
        <w:spacing w:line="570" w:lineRule="exact"/>
        <w:ind w:firstLine="640" w:firstLineChars="200"/>
        <w:rPr>
          <w:rFonts w:eastAsia="方正仿宋_GBK"/>
          <w:sz w:val="32"/>
          <w:szCs w:val="32"/>
        </w:rPr>
      </w:pPr>
      <w:r>
        <w:rPr>
          <w:rFonts w:hint="eastAsia" w:eastAsia="方正仿宋_GBK"/>
          <w:sz w:val="32"/>
          <w:szCs w:val="32"/>
        </w:rPr>
        <w:t>项目交易不成功需要重新挂牌的，若申请重新挂牌时距首次挂牌时间已超过一年，需参照新项目交易流程重新进行集体决策、审批并提交相关材料至农村产权交易服务机构，挂牌期限不少于10个工作日。若未满一年的，其中变更重要交易条件的，如降低价格且低于评估价的90%（已评估的项目）或者低于上一次挂牌价格的90%、项目规模变化、降低受让方资格条件等，须经集体经济组织成员会议或成员代表会议按照相关法律、法规讨论通过，形成决议后，提交重新挂牌申请，挂牌期限不少于10个工作日；未变更重要交易条件的，可直接提交重新挂牌申请，挂牌时间由出让方确定。</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《农村产权交易合同》经交易双方签字、盖章，并按照合同约定进行成交价款结算和标的交割后，</w:t>
      </w:r>
      <w:r>
        <w:rPr>
          <w:rFonts w:hint="eastAsia" w:eastAsia="方正仿宋_GBK"/>
          <w:sz w:val="32"/>
          <w:szCs w:val="32"/>
        </w:rPr>
        <w:t>根据交易双方需求</w:t>
      </w:r>
      <w:r>
        <w:rPr>
          <w:rFonts w:eastAsia="方正仿宋_GBK"/>
          <w:sz w:val="32"/>
          <w:szCs w:val="32"/>
        </w:rPr>
        <w:t xml:space="preserve">由农村产权交易服务机构审核并出具《交易鉴证书》。 </w:t>
      </w:r>
    </w:p>
    <w:p>
      <w:pPr>
        <w:spacing w:line="570" w:lineRule="exact"/>
        <w:ind w:firstLine="640" w:firstLineChars="200"/>
        <w:rPr>
          <w:rFonts w:eastAsia="方正仿宋_GBK"/>
          <w:sz w:val="32"/>
          <w:szCs w:val="32"/>
        </w:rPr>
      </w:pPr>
      <w:r>
        <w:rPr>
          <w:rFonts w:eastAsia="方正仿宋_GBK"/>
          <w:sz w:val="32"/>
          <w:szCs w:val="32"/>
        </w:rPr>
        <w:t>《交易鉴证书》应当载明如下事项：项目编号、出让方全称、受让方全称、标的全称、</w:t>
      </w:r>
      <w:r>
        <w:rPr>
          <w:rFonts w:hint="eastAsia" w:eastAsia="方正仿宋_GBK"/>
          <w:sz w:val="32"/>
          <w:szCs w:val="32"/>
        </w:rPr>
        <w:t>流转</w:t>
      </w:r>
      <w:r>
        <w:rPr>
          <w:rFonts w:eastAsia="方正仿宋_GBK"/>
          <w:sz w:val="32"/>
          <w:szCs w:val="32"/>
        </w:rPr>
        <w:t>方式、</w:t>
      </w:r>
      <w:r>
        <w:rPr>
          <w:rFonts w:hint="eastAsia" w:eastAsia="方正仿宋_GBK"/>
          <w:sz w:val="32"/>
          <w:szCs w:val="32"/>
        </w:rPr>
        <w:t>流转期限、</w:t>
      </w:r>
      <w:r>
        <w:rPr>
          <w:rFonts w:eastAsia="方正仿宋_GBK"/>
          <w:sz w:val="32"/>
          <w:szCs w:val="32"/>
        </w:rPr>
        <w:t>成交金额、备注等内容。</w:t>
      </w:r>
    </w:p>
    <w:p>
      <w:pPr>
        <w:spacing w:line="570" w:lineRule="exact"/>
        <w:ind w:firstLine="640" w:firstLineChars="200"/>
        <w:rPr>
          <w:rFonts w:eastAsia="方正仿宋_GBK"/>
          <w:sz w:val="32"/>
          <w:szCs w:val="32"/>
        </w:rPr>
      </w:pPr>
      <w:r>
        <w:rPr>
          <w:rFonts w:eastAsia="方正仿宋_GBK"/>
          <w:sz w:val="32"/>
          <w:szCs w:val="32"/>
        </w:rPr>
        <w:t>《交易鉴证书》使用统一格式打印，手写、涂改无效。</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采取联合出让或者联合受让方式的，联合出让或者联合受让各方应当签订联合出让或者联合受让协议书，明确各方的权利义务。</w:t>
      </w:r>
    </w:p>
    <w:p>
      <w:pPr>
        <w:spacing w:line="570" w:lineRule="exact"/>
        <w:ind w:firstLine="640" w:firstLineChars="200"/>
        <w:rPr>
          <w:rFonts w:eastAsia="方正仿宋_GBK"/>
          <w:sz w:val="32"/>
          <w:szCs w:val="32"/>
        </w:rPr>
      </w:pPr>
      <w:r>
        <w:rPr>
          <w:rFonts w:eastAsia="方正仿宋_GBK"/>
          <w:sz w:val="32"/>
          <w:szCs w:val="32"/>
        </w:rPr>
        <w:t>联合出让或者联合受让，应当推举一方代表联合体各方办理出让或者受让相关事宜。</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hint="eastAsia" w:eastAsia="方正仿宋_GBK"/>
          <w:sz w:val="32"/>
          <w:szCs w:val="32"/>
        </w:rPr>
        <w:t>凡涉及产权流转、涉农产品或设备采购等向有关部门申请涉农相关补贴的，如产权所有人非原所有人，有关部门应当要求对方提交农村产权交易服务机构出具的《黄山市农村产权交易鉴证书》。</w:t>
      </w:r>
    </w:p>
    <w:p>
      <w:pPr>
        <w:spacing w:line="570" w:lineRule="exact"/>
        <w:ind w:firstLine="640" w:firstLineChars="200"/>
        <w:rPr>
          <w:rFonts w:eastAsia="方正仿宋_GBK"/>
          <w:sz w:val="32"/>
          <w:szCs w:val="32"/>
        </w:rPr>
      </w:pPr>
      <w:r>
        <w:rPr>
          <w:rFonts w:hint="eastAsia" w:eastAsia="方正仿宋_GBK"/>
          <w:sz w:val="32"/>
          <w:szCs w:val="32"/>
        </w:rPr>
        <w:t>《黄山市农村产权交易鉴证书》可以作为向黄山各金融机构申请金融服务的重要材料，各金融机构可将其作为产权权属证明材料，并将鉴证书上登记的成交金额作为价值认定的参考依据。</w:t>
      </w:r>
    </w:p>
    <w:p>
      <w:pPr>
        <w:numPr>
          <w:ilvl w:val="0"/>
          <w:numId w:val="2"/>
        </w:numPr>
        <w:spacing w:line="570" w:lineRule="exact"/>
        <w:rPr>
          <w:rFonts w:ascii="方正楷体_GBK" w:hAnsi="宋体" w:eastAsia="方正楷体_GBK"/>
          <w:b/>
          <w:sz w:val="32"/>
          <w:szCs w:val="32"/>
        </w:rPr>
      </w:pPr>
      <w:r>
        <w:rPr>
          <w:rFonts w:hint="eastAsia" w:ascii="方正楷体_GBK" w:hAnsi="宋体" w:eastAsia="方正楷体_GBK"/>
          <w:b/>
          <w:sz w:val="32"/>
          <w:szCs w:val="32"/>
        </w:rPr>
        <w:t>交易行为规范</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五</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集体产权的出让须经本集体经济组织成员会议或成员代表会议按照相关法律、法规讨论通过，形成决议；数额较大的重要集体产权应当委托有资质的资产评估机构进行评估，具体转让底价经本集体经济组织成员或成员代表会议确定，转让底价不得低于评估价的90%。</w:t>
      </w:r>
    </w:p>
    <w:p>
      <w:pPr>
        <w:spacing w:line="570" w:lineRule="exact"/>
        <w:ind w:firstLine="640" w:firstLineChars="200"/>
        <w:rPr>
          <w:rFonts w:eastAsia="方正仿宋_GBK"/>
          <w:sz w:val="32"/>
          <w:szCs w:val="32"/>
        </w:rPr>
      </w:pPr>
      <w:r>
        <w:rPr>
          <w:rFonts w:eastAsia="方正仿宋_GBK"/>
          <w:sz w:val="32"/>
          <w:szCs w:val="32"/>
        </w:rPr>
        <w:t>农村个人产权的转让底价，可以依据有资质的资产评估机构的评估值为依据，也可以由出让方自行确定。</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六</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农村产权交易过程中，有下列情形之一的，经农村产权交易服务机构确认后中止交易：</w:t>
      </w:r>
    </w:p>
    <w:p>
      <w:pPr>
        <w:spacing w:line="570" w:lineRule="exact"/>
        <w:ind w:firstLine="640" w:firstLineChars="200"/>
        <w:rPr>
          <w:rFonts w:eastAsia="方正仿宋_GBK"/>
          <w:sz w:val="32"/>
          <w:szCs w:val="32"/>
        </w:rPr>
      </w:pPr>
      <w:r>
        <w:rPr>
          <w:rFonts w:eastAsia="方正仿宋_GBK"/>
          <w:sz w:val="32"/>
          <w:szCs w:val="32"/>
        </w:rPr>
        <w:t>（一）产权行政主管部门或司法部门提出中止交易的。</w:t>
      </w:r>
    </w:p>
    <w:p>
      <w:pPr>
        <w:spacing w:line="570" w:lineRule="exact"/>
        <w:ind w:firstLine="640" w:firstLineChars="200"/>
        <w:rPr>
          <w:rFonts w:eastAsia="方正仿宋_GBK"/>
          <w:sz w:val="32"/>
          <w:szCs w:val="32"/>
        </w:rPr>
      </w:pPr>
      <w:r>
        <w:rPr>
          <w:rFonts w:eastAsia="方正仿宋_GBK"/>
          <w:sz w:val="32"/>
          <w:szCs w:val="32"/>
        </w:rPr>
        <w:t>（二）出让方或者与产权有直接关系的第三方提出正当理由，并经产权行政主管部门</w:t>
      </w:r>
      <w:r>
        <w:rPr>
          <w:rFonts w:hint="eastAsia" w:eastAsia="方正仿宋_GBK"/>
          <w:sz w:val="32"/>
          <w:szCs w:val="32"/>
        </w:rPr>
        <w:t>批准</w:t>
      </w:r>
      <w:r>
        <w:rPr>
          <w:rFonts w:eastAsia="方正仿宋_GBK"/>
          <w:sz w:val="32"/>
          <w:szCs w:val="32"/>
        </w:rPr>
        <w:t>的。</w:t>
      </w:r>
    </w:p>
    <w:p>
      <w:pPr>
        <w:spacing w:line="570" w:lineRule="exact"/>
        <w:ind w:firstLine="640" w:firstLineChars="200"/>
        <w:rPr>
          <w:rFonts w:eastAsia="方正仿宋_GBK"/>
          <w:sz w:val="32"/>
          <w:szCs w:val="32"/>
        </w:rPr>
      </w:pPr>
      <w:r>
        <w:rPr>
          <w:rFonts w:eastAsia="方正仿宋_GBK"/>
          <w:sz w:val="32"/>
          <w:szCs w:val="32"/>
        </w:rPr>
        <w:t>（三）产权存在权属争议且尚未解决的。</w:t>
      </w:r>
    </w:p>
    <w:p>
      <w:pPr>
        <w:spacing w:line="570" w:lineRule="exact"/>
        <w:ind w:firstLine="640" w:firstLineChars="200"/>
        <w:rPr>
          <w:rFonts w:eastAsia="方正仿宋_GBK"/>
          <w:sz w:val="32"/>
          <w:szCs w:val="32"/>
        </w:rPr>
      </w:pPr>
      <w:r>
        <w:rPr>
          <w:rFonts w:eastAsia="方正仿宋_GBK"/>
          <w:sz w:val="32"/>
          <w:szCs w:val="32"/>
        </w:rPr>
        <w:t>（四）</w:t>
      </w:r>
      <w:r>
        <w:rPr>
          <w:rFonts w:hint="eastAsia" w:eastAsia="方正仿宋_GBK"/>
          <w:sz w:val="32"/>
          <w:szCs w:val="32"/>
        </w:rPr>
        <w:t>因服务器、软件系统等故障导致竞价程序无法正常进行的。</w:t>
      </w:r>
    </w:p>
    <w:p>
      <w:pPr>
        <w:spacing w:line="570" w:lineRule="exact"/>
        <w:ind w:firstLine="640" w:firstLineChars="200"/>
        <w:rPr>
          <w:rFonts w:eastAsia="方正仿宋_GBK"/>
          <w:sz w:val="32"/>
          <w:szCs w:val="32"/>
        </w:rPr>
      </w:pPr>
      <w:r>
        <w:rPr>
          <w:rFonts w:hint="eastAsia" w:eastAsia="方正仿宋_GBK"/>
          <w:sz w:val="32"/>
          <w:szCs w:val="32"/>
        </w:rPr>
        <w:t>（五）</w:t>
      </w:r>
      <w:r>
        <w:rPr>
          <w:rFonts w:eastAsia="方正仿宋_GBK"/>
          <w:sz w:val="32"/>
          <w:szCs w:val="32"/>
        </w:rPr>
        <w:t>因不可抗力致使产权交易活动不能按约定的期限和程序进行的。</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六</w:t>
      </w:r>
      <w:r>
        <w:rPr>
          <w:rFonts w:eastAsia="方正仿宋_GBK"/>
          <w:sz w:val="32"/>
          <w:szCs w:val="32"/>
        </w:rPr>
        <w:t>）农村产权交易服务机构认为有必要中止交易的。</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七</w:t>
      </w:r>
      <w:r>
        <w:rPr>
          <w:rFonts w:eastAsia="方正仿宋_GBK"/>
          <w:sz w:val="32"/>
          <w:szCs w:val="32"/>
        </w:rPr>
        <w:t>）其他依法应当中止交易的情形。</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七</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当引起中止的情形消失后，农村产权交易服务机构应及时恢复交易</w:t>
      </w:r>
      <w:r>
        <w:rPr>
          <w:rFonts w:hint="eastAsia" w:eastAsia="方正仿宋_GBK"/>
          <w:sz w:val="32"/>
          <w:szCs w:val="32"/>
        </w:rPr>
        <w:t>或重新交易</w:t>
      </w:r>
      <w:r>
        <w:rPr>
          <w:rFonts w:eastAsia="方正仿宋_GBK"/>
          <w:sz w:val="32"/>
          <w:szCs w:val="32"/>
        </w:rPr>
        <w:t>。</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八</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农村产权交易过程中，有下列情形之一的，经农村产权交易服务机构确认后终止交易：</w:t>
      </w:r>
    </w:p>
    <w:p>
      <w:pPr>
        <w:spacing w:line="570"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明确中止时间的</w:t>
      </w:r>
      <w:r>
        <w:rPr>
          <w:rFonts w:eastAsia="方正仿宋_GBK"/>
          <w:sz w:val="32"/>
          <w:szCs w:val="32"/>
        </w:rPr>
        <w:t>中止期满，仍未能消除影响交易中止的因素导致交易无法继续进行的。</w:t>
      </w:r>
    </w:p>
    <w:p>
      <w:pPr>
        <w:spacing w:line="570" w:lineRule="exact"/>
        <w:ind w:firstLine="640" w:firstLineChars="200"/>
        <w:rPr>
          <w:rFonts w:eastAsia="方正仿宋_GBK"/>
          <w:sz w:val="32"/>
          <w:szCs w:val="32"/>
        </w:rPr>
      </w:pPr>
      <w:r>
        <w:rPr>
          <w:rFonts w:eastAsia="方正仿宋_GBK"/>
          <w:sz w:val="32"/>
          <w:szCs w:val="32"/>
        </w:rPr>
        <w:t>（二）产权行政主管部门提出终止交易的。</w:t>
      </w:r>
    </w:p>
    <w:p>
      <w:pPr>
        <w:spacing w:line="570" w:lineRule="exact"/>
        <w:ind w:firstLine="640" w:firstLineChars="200"/>
        <w:rPr>
          <w:rFonts w:eastAsia="方正仿宋_GBK"/>
          <w:sz w:val="32"/>
          <w:szCs w:val="32"/>
        </w:rPr>
      </w:pPr>
      <w:r>
        <w:rPr>
          <w:rFonts w:eastAsia="方正仿宋_GBK"/>
          <w:sz w:val="32"/>
          <w:szCs w:val="32"/>
        </w:rPr>
        <w:t>（三）</w:t>
      </w:r>
      <w:r>
        <w:rPr>
          <w:rFonts w:hint="eastAsia" w:eastAsia="方正仿宋_GBK"/>
          <w:sz w:val="32"/>
          <w:szCs w:val="32"/>
        </w:rPr>
        <w:t>出让方或者与产权有直接关系的第三方提出正当理由，并经产权行政主管部门批准的。</w:t>
      </w:r>
    </w:p>
    <w:p>
      <w:pPr>
        <w:spacing w:line="570" w:lineRule="exact"/>
        <w:ind w:firstLine="640" w:firstLineChars="200"/>
        <w:rPr>
          <w:rFonts w:eastAsia="方正仿宋_GBK"/>
          <w:sz w:val="32"/>
          <w:szCs w:val="32"/>
        </w:rPr>
      </w:pPr>
      <w:r>
        <w:rPr>
          <w:rFonts w:eastAsia="方正仿宋_GBK"/>
          <w:sz w:val="32"/>
          <w:szCs w:val="32"/>
        </w:rPr>
        <w:t>（四）人民法院、仲裁机构依法发出终止交易书面通知的。</w:t>
      </w:r>
    </w:p>
    <w:p>
      <w:pPr>
        <w:spacing w:line="570" w:lineRule="exact"/>
        <w:ind w:firstLine="640" w:firstLineChars="200"/>
        <w:rPr>
          <w:rFonts w:eastAsia="方正仿宋_GBK"/>
          <w:sz w:val="32"/>
          <w:szCs w:val="32"/>
        </w:rPr>
      </w:pPr>
      <w:r>
        <w:rPr>
          <w:rFonts w:eastAsia="方正仿宋_GBK"/>
          <w:sz w:val="32"/>
          <w:szCs w:val="32"/>
        </w:rPr>
        <w:t>（五）</w:t>
      </w:r>
      <w:r>
        <w:rPr>
          <w:rFonts w:hint="eastAsia" w:eastAsia="方正仿宋_GBK"/>
          <w:sz w:val="32"/>
          <w:szCs w:val="32"/>
        </w:rPr>
        <w:t>因不可抗力致使产权交易不能进行的。</w:t>
      </w:r>
    </w:p>
    <w:p>
      <w:pPr>
        <w:spacing w:line="570" w:lineRule="exact"/>
        <w:ind w:firstLine="640" w:firstLineChars="200"/>
        <w:rPr>
          <w:rFonts w:eastAsia="方正仿宋_GBK"/>
          <w:sz w:val="32"/>
          <w:szCs w:val="32"/>
        </w:rPr>
      </w:pPr>
      <w:r>
        <w:rPr>
          <w:rFonts w:hint="eastAsia" w:eastAsia="方正仿宋_GBK"/>
          <w:sz w:val="32"/>
          <w:szCs w:val="32"/>
        </w:rPr>
        <w:t>（六）</w:t>
      </w:r>
      <w:r>
        <w:rPr>
          <w:rFonts w:eastAsia="方正仿宋_GBK"/>
          <w:sz w:val="32"/>
          <w:szCs w:val="32"/>
        </w:rPr>
        <w:t>其他依法应当终止交易的情形。</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二十九</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产权交易中出现中止、终止情形的，农村交权交易服务机构应按原公告途径予以公告。</w:t>
      </w:r>
    </w:p>
    <w:p>
      <w:pPr>
        <w:spacing w:line="570" w:lineRule="exact"/>
        <w:ind w:firstLine="640" w:firstLineChars="200"/>
        <w:rPr>
          <w:rFonts w:eastAsia="方正仿宋_GBK"/>
          <w:sz w:val="32"/>
          <w:szCs w:val="32"/>
        </w:rPr>
      </w:pPr>
      <w:r>
        <w:rPr>
          <w:rFonts w:ascii="方正黑体_GBK" w:eastAsia="方正黑体_GBK"/>
          <w:sz w:val="32"/>
          <w:szCs w:val="32"/>
        </w:rPr>
        <w:t>第三十条</w:t>
      </w:r>
      <w:r>
        <w:rPr>
          <w:rFonts w:hint="eastAsia" w:ascii="方正黑体_GBK" w:eastAsia="方正黑体_GBK"/>
          <w:sz w:val="32"/>
          <w:szCs w:val="32"/>
        </w:rPr>
        <w:t>　</w:t>
      </w:r>
      <w:r>
        <w:rPr>
          <w:rFonts w:eastAsia="方正仿宋_GBK"/>
          <w:sz w:val="32"/>
          <w:szCs w:val="32"/>
        </w:rPr>
        <w:t>在农村产权交易活动中，禁止下列行为：</w:t>
      </w:r>
    </w:p>
    <w:p>
      <w:pPr>
        <w:spacing w:line="570" w:lineRule="exact"/>
        <w:ind w:firstLine="640" w:firstLineChars="200"/>
        <w:rPr>
          <w:rFonts w:eastAsia="方正仿宋_GBK"/>
          <w:sz w:val="32"/>
          <w:szCs w:val="32"/>
        </w:rPr>
      </w:pPr>
      <w:r>
        <w:rPr>
          <w:rFonts w:eastAsia="方正仿宋_GBK"/>
          <w:sz w:val="32"/>
          <w:szCs w:val="32"/>
        </w:rPr>
        <w:t>（一）操纵交易市场或者扰乱交易秩序。</w:t>
      </w:r>
    </w:p>
    <w:p>
      <w:pPr>
        <w:spacing w:line="570" w:lineRule="exact"/>
        <w:ind w:firstLine="640" w:firstLineChars="200"/>
        <w:rPr>
          <w:rFonts w:eastAsia="方正仿宋_GBK"/>
          <w:sz w:val="32"/>
          <w:szCs w:val="32"/>
        </w:rPr>
      </w:pPr>
      <w:r>
        <w:rPr>
          <w:rFonts w:eastAsia="方正仿宋_GBK"/>
          <w:sz w:val="32"/>
          <w:szCs w:val="32"/>
        </w:rPr>
        <w:t>（二）影响交易双方进行公平交易。</w:t>
      </w:r>
    </w:p>
    <w:p>
      <w:pPr>
        <w:spacing w:line="570" w:lineRule="exact"/>
        <w:ind w:firstLine="640" w:firstLineChars="200"/>
        <w:rPr>
          <w:rFonts w:eastAsia="方正仿宋_GBK"/>
          <w:sz w:val="32"/>
          <w:szCs w:val="32"/>
        </w:rPr>
      </w:pPr>
      <w:r>
        <w:rPr>
          <w:rFonts w:eastAsia="方正仿宋_GBK"/>
          <w:sz w:val="32"/>
          <w:szCs w:val="32"/>
        </w:rPr>
        <w:t>（三）法律、法规、规章禁止的其他行为。</w:t>
      </w:r>
    </w:p>
    <w:p>
      <w:pPr>
        <w:spacing w:line="570" w:lineRule="exact"/>
        <w:ind w:firstLine="640" w:firstLineChars="200"/>
        <w:rPr>
          <w:rFonts w:eastAsia="方正仿宋_GBK"/>
          <w:sz w:val="32"/>
          <w:szCs w:val="32"/>
        </w:rPr>
      </w:pPr>
      <w:r>
        <w:rPr>
          <w:rFonts w:ascii="方正黑体_GBK" w:eastAsia="方正黑体_GBK"/>
          <w:sz w:val="32"/>
          <w:szCs w:val="32"/>
        </w:rPr>
        <w:t>第三十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产权交易服务收费标准，由物价部门核定。</w:t>
      </w:r>
    </w:p>
    <w:p>
      <w:pPr>
        <w:spacing w:line="570" w:lineRule="exact"/>
        <w:ind w:firstLine="640" w:firstLineChars="200"/>
        <w:rPr>
          <w:rFonts w:eastAsia="方正仿宋_GBK"/>
          <w:sz w:val="32"/>
          <w:szCs w:val="32"/>
        </w:rPr>
      </w:pPr>
      <w:r>
        <w:rPr>
          <w:rFonts w:eastAsia="方正仿宋_GBK"/>
          <w:sz w:val="32"/>
          <w:szCs w:val="32"/>
        </w:rPr>
        <w:t>为扶持农村产权交易，出让方、受让方为农村集体经济组织、农民合作经济组织、家庭农场、农业龙头企业等新型农业经营主体或者农民的，免收交易服务费用；其他交易主体，按照规定收取相关费用。</w:t>
      </w:r>
    </w:p>
    <w:p>
      <w:pPr>
        <w:spacing w:line="570" w:lineRule="exact"/>
        <w:ind w:firstLine="640" w:firstLineChars="200"/>
        <w:rPr>
          <w:rFonts w:eastAsia="方正仿宋_GBK"/>
          <w:sz w:val="32"/>
          <w:szCs w:val="32"/>
        </w:rPr>
      </w:pPr>
      <w:r>
        <w:rPr>
          <w:rFonts w:eastAsia="方正仿宋_GBK"/>
          <w:sz w:val="32"/>
          <w:szCs w:val="32"/>
        </w:rPr>
        <w:t>涉及应征税项目的，按照国家税收管理有关规定执行。</w:t>
      </w:r>
    </w:p>
    <w:p>
      <w:pPr>
        <w:spacing w:line="570" w:lineRule="exact"/>
        <w:ind w:firstLine="640" w:firstLineChars="200"/>
        <w:rPr>
          <w:rFonts w:eastAsia="方正仿宋_GBK"/>
          <w:sz w:val="32"/>
          <w:szCs w:val="32"/>
        </w:rPr>
      </w:pPr>
      <w:r>
        <w:rPr>
          <w:rFonts w:ascii="方正黑体_GBK" w:eastAsia="方正黑体_GBK"/>
          <w:sz w:val="32"/>
          <w:szCs w:val="32"/>
        </w:rPr>
        <w:t>第三十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农村集体产权的交易收益，应当纳入本集体经济组织财产实行统一管理。</w:t>
      </w:r>
    </w:p>
    <w:p>
      <w:pPr>
        <w:spacing w:line="570" w:lineRule="exact"/>
        <w:ind w:firstLine="640" w:firstLineChars="200"/>
        <w:rPr>
          <w:rFonts w:eastAsia="方正仿宋_GBK"/>
          <w:sz w:val="32"/>
          <w:szCs w:val="32"/>
        </w:rPr>
      </w:pPr>
      <w:r>
        <w:rPr>
          <w:rFonts w:eastAsia="方正仿宋_GBK"/>
          <w:sz w:val="32"/>
          <w:szCs w:val="32"/>
        </w:rPr>
        <w:t>个人产权的交易收益，归个人所有。</w:t>
      </w:r>
    </w:p>
    <w:p>
      <w:pPr>
        <w:spacing w:line="570" w:lineRule="exact"/>
        <w:ind w:firstLine="640" w:firstLineChars="200"/>
        <w:rPr>
          <w:rFonts w:eastAsia="方正仿宋_GBK"/>
          <w:sz w:val="32"/>
          <w:szCs w:val="32"/>
        </w:rPr>
      </w:pPr>
      <w:r>
        <w:rPr>
          <w:rFonts w:ascii="方正黑体_GBK" w:eastAsia="方正黑体_GBK"/>
          <w:sz w:val="32"/>
          <w:szCs w:val="32"/>
        </w:rPr>
        <w:t>第三十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各级农村交权交易服务机构应当将交易过程中形成的文字、图片等相关资料妥善保存，建立健全档案管理制度，实行一事一档管理。</w:t>
      </w:r>
    </w:p>
    <w:p>
      <w:p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第五章  争议处理</w:t>
      </w:r>
    </w:p>
    <w:p>
      <w:pPr>
        <w:spacing w:line="570" w:lineRule="exact"/>
        <w:ind w:firstLine="640" w:firstLineChars="200"/>
        <w:rPr>
          <w:rFonts w:eastAsia="方正仿宋_GBK"/>
          <w:sz w:val="32"/>
          <w:szCs w:val="32"/>
        </w:rPr>
      </w:pPr>
      <w:r>
        <w:rPr>
          <w:rFonts w:ascii="方正黑体_GBK" w:eastAsia="方正黑体_GBK"/>
          <w:sz w:val="32"/>
          <w:szCs w:val="32"/>
        </w:rPr>
        <w:t>第三十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在农村产权交易服务机构进行产权交易过程中，发生产权交易纠纷的，当事人可以向当地农村产权主管部门申请调解，也可以依据合同的约定申请仲裁或者依法向人民法院提起诉讼。</w:t>
      </w:r>
    </w:p>
    <w:p>
      <w:pPr>
        <w:spacing w:line="570" w:lineRule="exact"/>
        <w:ind w:firstLine="640" w:firstLineChars="200"/>
        <w:rPr>
          <w:rFonts w:eastAsia="方正仿宋_GBK"/>
          <w:sz w:val="32"/>
          <w:szCs w:val="32"/>
        </w:rPr>
      </w:pPr>
      <w:r>
        <w:rPr>
          <w:rFonts w:ascii="方正黑体_GBK" w:eastAsia="方正黑体_GBK"/>
          <w:sz w:val="32"/>
          <w:szCs w:val="32"/>
        </w:rPr>
        <w:t>第三十</w:t>
      </w:r>
      <w:r>
        <w:rPr>
          <w:rFonts w:hint="eastAsia" w:ascii="方正黑体_GBK" w:eastAsia="方正黑体_GBK"/>
          <w:sz w:val="32"/>
          <w:szCs w:val="32"/>
        </w:rPr>
        <w:t>五</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交易双方及合作</w:t>
      </w:r>
      <w:r>
        <w:rPr>
          <w:rFonts w:hint="eastAsia" w:eastAsia="方正仿宋_GBK"/>
          <w:sz w:val="32"/>
          <w:szCs w:val="32"/>
        </w:rPr>
        <w:t>单位</w:t>
      </w:r>
      <w:r>
        <w:rPr>
          <w:rFonts w:eastAsia="方正仿宋_GBK"/>
          <w:sz w:val="32"/>
          <w:szCs w:val="32"/>
        </w:rPr>
        <w:t>有违法违约行为，造成农村产权交易服务机构及相关方损失的，应依法承担相应责任。</w:t>
      </w:r>
    </w:p>
    <w:p>
      <w:pPr>
        <w:numPr>
          <w:ilvl w:val="0"/>
          <w:numId w:val="0"/>
        </w:numPr>
        <w:spacing w:line="570" w:lineRule="exact"/>
        <w:jc w:val="center"/>
        <w:rPr>
          <w:rFonts w:ascii="方正楷体_GBK" w:eastAsia="方正楷体_GBK"/>
          <w:b/>
          <w:sz w:val="32"/>
          <w:szCs w:val="32"/>
        </w:rPr>
      </w:pPr>
      <w:r>
        <w:rPr>
          <w:rFonts w:hint="eastAsia" w:ascii="方正楷体_GBK" w:eastAsia="方正楷体_GBK"/>
          <w:b/>
          <w:sz w:val="32"/>
          <w:szCs w:val="32"/>
          <w:lang w:eastAsia="zh-CN"/>
        </w:rPr>
        <w:t>第六章</w:t>
      </w:r>
      <w:r>
        <w:rPr>
          <w:rFonts w:hint="eastAsia" w:ascii="方正楷体_GBK" w:eastAsia="方正楷体_GBK"/>
          <w:b/>
          <w:sz w:val="32"/>
          <w:szCs w:val="32"/>
          <w:lang w:val="en-US" w:eastAsia="zh-CN"/>
        </w:rPr>
        <w:t xml:space="preserve">  </w:t>
      </w:r>
      <w:r>
        <w:rPr>
          <w:rFonts w:hint="eastAsia" w:ascii="方正楷体_GBK" w:eastAsia="方正楷体_GBK"/>
          <w:b/>
          <w:sz w:val="32"/>
          <w:szCs w:val="32"/>
        </w:rPr>
        <w:t>附则</w:t>
      </w:r>
    </w:p>
    <w:p>
      <w:pPr>
        <w:spacing w:line="570" w:lineRule="exact"/>
        <w:ind w:firstLine="640" w:firstLineChars="200"/>
        <w:rPr>
          <w:rFonts w:eastAsia="方正仿宋_GBK"/>
          <w:sz w:val="32"/>
          <w:szCs w:val="32"/>
        </w:rPr>
      </w:pPr>
      <w:r>
        <w:rPr>
          <w:rFonts w:ascii="方正黑体_GBK" w:eastAsia="方正黑体_GBK"/>
          <w:sz w:val="32"/>
          <w:szCs w:val="32"/>
        </w:rPr>
        <w:t>第三十</w:t>
      </w:r>
      <w:r>
        <w:rPr>
          <w:rFonts w:hint="eastAsia" w:ascii="方正黑体_GBK" w:eastAsia="方正黑体_GBK"/>
          <w:sz w:val="32"/>
          <w:szCs w:val="32"/>
        </w:rPr>
        <w:t>六</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除依法必须进入公共资源交易平台的农村一事一议涉农资金项目外，由县（区）参照本办法，按照采购限额标准在农村产权交易服务机构审核及交易。</w:t>
      </w:r>
    </w:p>
    <w:p>
      <w:pPr>
        <w:spacing w:line="570" w:lineRule="exact"/>
        <w:ind w:firstLine="640" w:firstLineChars="200"/>
        <w:rPr>
          <w:rFonts w:eastAsia="方正仿宋_GBK"/>
          <w:sz w:val="32"/>
          <w:szCs w:val="32"/>
        </w:rPr>
      </w:pPr>
      <w:r>
        <w:rPr>
          <w:rFonts w:ascii="方正黑体_GBK" w:eastAsia="方正黑体_GBK"/>
          <w:sz w:val="32"/>
          <w:szCs w:val="32"/>
        </w:rPr>
        <w:t>第三十</w:t>
      </w:r>
      <w:r>
        <w:rPr>
          <w:rFonts w:hint="eastAsia" w:ascii="方正黑体_GBK" w:eastAsia="方正黑体_GBK"/>
          <w:sz w:val="32"/>
          <w:szCs w:val="32"/>
        </w:rPr>
        <w:t>七</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本办法由市农村产权交易监督管理办公室负责解释。</w:t>
      </w:r>
    </w:p>
    <w:p>
      <w:pPr>
        <w:spacing w:line="570" w:lineRule="exact"/>
        <w:ind w:firstLine="640" w:firstLineChars="200"/>
        <w:rPr>
          <w:rFonts w:eastAsia="方正仿宋_GBK"/>
          <w:sz w:val="32"/>
          <w:szCs w:val="32"/>
        </w:rPr>
      </w:pPr>
      <w:r>
        <w:rPr>
          <w:rFonts w:ascii="方正黑体_GBK" w:eastAsia="方正黑体_GBK"/>
          <w:sz w:val="32"/>
          <w:szCs w:val="32"/>
        </w:rPr>
        <w:t>第三十</w:t>
      </w:r>
      <w:r>
        <w:rPr>
          <w:rFonts w:hint="eastAsia" w:ascii="方正黑体_GBK" w:eastAsia="方正黑体_GBK"/>
          <w:sz w:val="32"/>
          <w:szCs w:val="32"/>
        </w:rPr>
        <w:t>八</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本办法自发布之日起施行。</w:t>
      </w:r>
    </w:p>
    <w:p>
      <w:pPr>
        <w:spacing w:line="570" w:lineRule="exact"/>
        <w:ind w:firstLine="640" w:firstLineChars="200"/>
        <w:rPr>
          <w:rFonts w:eastAsia="方正仿宋_GBK"/>
          <w:sz w:val="32"/>
          <w:szCs w:val="32"/>
        </w:rPr>
      </w:pPr>
    </w:p>
    <w:p>
      <w:pPr>
        <w:spacing w:line="570" w:lineRule="exact"/>
        <w:rPr>
          <w:rFonts w:eastAsia="方正仿宋_GBK"/>
          <w:sz w:val="32"/>
          <w:szCs w:val="32"/>
        </w:rPr>
        <w:sectPr>
          <w:footerReference r:id="rId5" w:type="first"/>
          <w:headerReference r:id="rId3" w:type="default"/>
          <w:footerReference r:id="rId4" w:type="default"/>
          <w:pgSz w:w="11907" w:h="16840"/>
          <w:pgMar w:top="1440" w:right="1803" w:bottom="1440" w:left="1803" w:header="851" w:footer="992" w:gutter="0"/>
          <w:pgNumType w:fmt="numberInDash"/>
          <w:cols w:space="72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440" w:firstLineChars="100"/>
        <w:jc w:val="both"/>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u w:val="single"/>
        </w:rPr>
        <w:t xml:space="preserve">                 </w:t>
      </w:r>
      <w:r>
        <w:rPr>
          <w:rFonts w:hint="eastAsia" w:ascii="方正小标宋_GBK" w:hAnsi="方正小标宋_GBK" w:eastAsia="方正小标宋_GBK" w:cs="方正小标宋_GBK"/>
          <w:b w:val="0"/>
          <w:bCs/>
          <w:sz w:val="44"/>
          <w:szCs w:val="44"/>
        </w:rPr>
        <w:t>流转审核表（模板）</w:t>
      </w:r>
    </w:p>
    <w:p>
      <w:pPr>
        <w:keepNext w:val="0"/>
        <w:keepLines w:val="0"/>
        <w:pageBreakBefore w:val="0"/>
        <w:widowControl w:val="0"/>
        <w:kinsoku/>
        <w:wordWrap/>
        <w:overflowPunct/>
        <w:topLinePunct w:val="0"/>
        <w:autoSpaceDE/>
        <w:autoSpaceDN/>
        <w:bidi w:val="0"/>
        <w:adjustRightInd/>
        <w:snapToGrid/>
        <w:spacing w:line="580" w:lineRule="exact"/>
        <w:ind w:firstLine="440" w:firstLineChars="100"/>
        <w:jc w:val="both"/>
        <w:textAlignment w:val="auto"/>
        <w:outlineLvl w:val="9"/>
        <w:rPr>
          <w:rFonts w:hint="eastAsia" w:ascii="方正小标宋_GBK" w:hAnsi="方正小标宋_GBK" w:eastAsia="方正小标宋_GBK" w:cs="方正小标宋_GBK"/>
          <w:b w:val="0"/>
          <w:bCs/>
          <w:sz w:val="44"/>
          <w:szCs w:val="44"/>
        </w:rPr>
      </w:pPr>
    </w:p>
    <w:tbl>
      <w:tblPr>
        <w:tblStyle w:val="5"/>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75"/>
        <w:gridCol w:w="706"/>
        <w:gridCol w:w="560"/>
        <w:gridCol w:w="1320"/>
        <w:gridCol w:w="152"/>
        <w:gridCol w:w="305"/>
        <w:gridCol w:w="90"/>
        <w:gridCol w:w="284"/>
        <w:gridCol w:w="813"/>
        <w:gridCol w:w="316"/>
        <w:gridCol w:w="404"/>
        <w:gridCol w:w="130"/>
        <w:gridCol w:w="325"/>
        <w:gridCol w:w="182"/>
        <w:gridCol w:w="161"/>
        <w:gridCol w:w="380"/>
        <w:gridCol w:w="218"/>
        <w:gridCol w:w="916"/>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8960" w:type="dxa"/>
            <w:gridSpan w:val="19"/>
            <w:vAlign w:val="center"/>
          </w:tcPr>
          <w:p>
            <w:pPr>
              <w:spacing w:line="320" w:lineRule="exact"/>
              <w:jc w:val="center"/>
              <w:rPr>
                <w:rFonts w:eastAsia="黑体"/>
                <w:b w:val="0"/>
                <w:bCs/>
                <w:sz w:val="24"/>
              </w:rPr>
            </w:pPr>
            <w:r>
              <w:rPr>
                <w:rFonts w:eastAsia="黑体"/>
                <w:b w:val="0"/>
                <w:bCs/>
                <w:sz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乡镇（街道）</w:t>
            </w:r>
          </w:p>
        </w:tc>
        <w:tc>
          <w:tcPr>
            <w:tcW w:w="3043" w:type="dxa"/>
            <w:gridSpan w:val="5"/>
            <w:vAlign w:val="center"/>
          </w:tcPr>
          <w:p>
            <w:pPr>
              <w:spacing w:line="320" w:lineRule="exact"/>
              <w:jc w:val="left"/>
              <w:rPr>
                <w:rFonts w:eastAsia="方正楷体_GBK"/>
                <w:sz w:val="24"/>
              </w:rPr>
            </w:pPr>
          </w:p>
        </w:tc>
        <w:tc>
          <w:tcPr>
            <w:tcW w:w="1503" w:type="dxa"/>
            <w:gridSpan w:val="4"/>
            <w:vAlign w:val="center"/>
          </w:tcPr>
          <w:p>
            <w:pPr>
              <w:spacing w:line="320" w:lineRule="exact"/>
              <w:jc w:val="distribute"/>
              <w:rPr>
                <w:sz w:val="24"/>
              </w:rPr>
            </w:pPr>
            <w:r>
              <w:rPr>
                <w:sz w:val="24"/>
              </w:rPr>
              <w:t>村（社区）</w:t>
            </w:r>
          </w:p>
        </w:tc>
        <w:tc>
          <w:tcPr>
            <w:tcW w:w="1041" w:type="dxa"/>
            <w:gridSpan w:val="4"/>
            <w:vAlign w:val="center"/>
          </w:tcPr>
          <w:p>
            <w:pPr>
              <w:spacing w:line="320" w:lineRule="exact"/>
              <w:jc w:val="left"/>
              <w:rPr>
                <w:rFonts w:eastAsia="方正楷体_GBK"/>
                <w:sz w:val="24"/>
              </w:rPr>
            </w:pPr>
          </w:p>
        </w:tc>
        <w:tc>
          <w:tcPr>
            <w:tcW w:w="759" w:type="dxa"/>
            <w:gridSpan w:val="3"/>
            <w:vAlign w:val="center"/>
          </w:tcPr>
          <w:p>
            <w:pPr>
              <w:spacing w:line="320" w:lineRule="exact"/>
              <w:jc w:val="distribute"/>
              <w:rPr>
                <w:sz w:val="24"/>
              </w:rPr>
            </w:pPr>
            <w:r>
              <w:rPr>
                <w:sz w:val="24"/>
              </w:rPr>
              <w:t>组别</w:t>
            </w:r>
          </w:p>
        </w:tc>
        <w:tc>
          <w:tcPr>
            <w:tcW w:w="916" w:type="dxa"/>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项目名称</w:t>
            </w:r>
          </w:p>
        </w:tc>
        <w:tc>
          <w:tcPr>
            <w:tcW w:w="7262" w:type="dxa"/>
            <w:gridSpan w:val="17"/>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rFonts w:hint="eastAsia"/>
                <w:sz w:val="24"/>
              </w:rPr>
              <w:t>产权类型</w:t>
            </w:r>
          </w:p>
        </w:tc>
        <w:tc>
          <w:tcPr>
            <w:tcW w:w="7262" w:type="dxa"/>
            <w:gridSpan w:val="17"/>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项目编号</w:t>
            </w:r>
          </w:p>
        </w:tc>
        <w:tc>
          <w:tcPr>
            <w:tcW w:w="3043" w:type="dxa"/>
            <w:gridSpan w:val="5"/>
            <w:vAlign w:val="center"/>
          </w:tcPr>
          <w:p>
            <w:pPr>
              <w:spacing w:line="320" w:lineRule="exact"/>
              <w:jc w:val="left"/>
              <w:rPr>
                <w:rFonts w:eastAsia="方正楷体_GBK"/>
                <w:sz w:val="24"/>
              </w:rPr>
            </w:pPr>
          </w:p>
        </w:tc>
        <w:tc>
          <w:tcPr>
            <w:tcW w:w="1503" w:type="dxa"/>
            <w:gridSpan w:val="4"/>
            <w:vAlign w:val="center"/>
          </w:tcPr>
          <w:p>
            <w:pPr>
              <w:spacing w:line="320" w:lineRule="exact"/>
              <w:jc w:val="distribute"/>
              <w:rPr>
                <w:sz w:val="24"/>
              </w:rPr>
            </w:pPr>
            <w:r>
              <w:rPr>
                <w:sz w:val="24"/>
              </w:rPr>
              <w:t>登记日期</w:t>
            </w:r>
          </w:p>
        </w:tc>
        <w:tc>
          <w:tcPr>
            <w:tcW w:w="2716" w:type="dxa"/>
            <w:gridSpan w:val="8"/>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资产类型</w:t>
            </w:r>
          </w:p>
        </w:tc>
        <w:tc>
          <w:tcPr>
            <w:tcW w:w="7262" w:type="dxa"/>
            <w:gridSpan w:val="17"/>
            <w:vAlign w:val="center"/>
          </w:tcPr>
          <w:p>
            <w:pPr>
              <w:spacing w:line="320" w:lineRule="exact"/>
              <w:jc w:val="left"/>
              <w:rPr>
                <w:rFonts w:eastAsia="楷体"/>
                <w:sz w:val="24"/>
              </w:rPr>
            </w:pPr>
            <w:r>
              <w:rPr>
                <w:rFonts w:ascii="楷体" w:hAnsi="楷体" w:eastAsia="楷体"/>
                <w:sz w:val="24"/>
              </w:rPr>
              <w:sym w:font="Wingdings 2" w:char="F0A3"/>
            </w:r>
            <w:r>
              <w:rPr>
                <w:rFonts w:hint="eastAsia" w:ascii="楷体" w:hAnsi="楷体" w:eastAsia="楷体"/>
                <w:sz w:val="24"/>
              </w:rPr>
              <w:t xml:space="preserve">厂房    </w:t>
            </w:r>
            <w:r>
              <w:rPr>
                <w:rFonts w:ascii="楷体" w:hAnsi="楷体" w:eastAsia="楷体"/>
                <w:sz w:val="24"/>
              </w:rPr>
              <w:sym w:font="Wingdings 2" w:char="F0A3"/>
            </w:r>
            <w:r>
              <w:rPr>
                <w:rFonts w:hint="eastAsia" w:ascii="楷体" w:hAnsi="楷体" w:eastAsia="楷体"/>
                <w:sz w:val="24"/>
              </w:rPr>
              <w:t xml:space="preserve">商铺    </w:t>
            </w:r>
            <w:r>
              <w:rPr>
                <w:rFonts w:ascii="楷体" w:hAnsi="楷体" w:eastAsia="楷体"/>
                <w:sz w:val="24"/>
              </w:rPr>
              <w:sym w:font="Wingdings 2" w:char="F0A3"/>
            </w:r>
            <w:r>
              <w:rPr>
                <w:rFonts w:hint="eastAsia" w:ascii="楷体" w:hAnsi="楷体" w:eastAsia="楷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交易方式</w:t>
            </w:r>
          </w:p>
        </w:tc>
        <w:tc>
          <w:tcPr>
            <w:tcW w:w="3043" w:type="dxa"/>
            <w:gridSpan w:val="5"/>
            <w:vAlign w:val="center"/>
          </w:tcPr>
          <w:p>
            <w:pPr>
              <w:spacing w:after="120" w:line="320" w:lineRule="exact"/>
              <w:rPr>
                <w:rFonts w:ascii="楷体" w:hAnsi="楷体" w:eastAsia="楷体"/>
                <w:sz w:val="24"/>
              </w:rPr>
            </w:pPr>
            <w:r>
              <w:rPr>
                <w:rFonts w:ascii="楷体" w:hAnsi="楷体" w:eastAsia="楷体"/>
                <w:sz w:val="24"/>
              </w:rPr>
              <w:sym w:font="Wingdings 2" w:char="00A3"/>
            </w:r>
            <w:r>
              <w:rPr>
                <w:rFonts w:hint="eastAsia" w:ascii="楷体" w:hAnsi="楷体" w:eastAsia="楷体"/>
                <w:sz w:val="24"/>
              </w:rPr>
              <w:t xml:space="preserve">租赁  </w:t>
            </w:r>
            <w:r>
              <w:rPr>
                <w:rFonts w:ascii="楷体" w:hAnsi="楷体" w:eastAsia="楷体"/>
                <w:sz w:val="24"/>
              </w:rPr>
              <w:sym w:font="Wingdings 2" w:char="F0A3"/>
            </w:r>
            <w:r>
              <w:rPr>
                <w:rFonts w:hint="eastAsia" w:ascii="楷体" w:hAnsi="楷体" w:eastAsia="楷体"/>
                <w:sz w:val="24"/>
              </w:rPr>
              <w:t>入</w:t>
            </w:r>
            <w:r>
              <w:rPr>
                <w:rFonts w:ascii="楷体" w:hAnsi="楷体" w:eastAsia="楷体"/>
                <w:sz w:val="24"/>
              </w:rPr>
              <w:t>股</w:t>
            </w:r>
            <w:r>
              <w:rPr>
                <w:rFonts w:hint="eastAsia" w:ascii="楷体" w:hAnsi="楷体" w:eastAsia="楷体"/>
                <w:sz w:val="24"/>
              </w:rPr>
              <w:t xml:space="preserve">  </w:t>
            </w:r>
            <w:r>
              <w:rPr>
                <w:rFonts w:ascii="楷体" w:hAnsi="楷体" w:eastAsia="楷体"/>
                <w:sz w:val="24"/>
              </w:rPr>
              <w:sym w:font="Wingdings 2" w:char="F0A3"/>
            </w:r>
            <w:r>
              <w:rPr>
                <w:rFonts w:hint="eastAsia" w:ascii="楷体" w:hAnsi="楷体" w:eastAsia="楷体"/>
                <w:sz w:val="24"/>
              </w:rPr>
              <w:t>其他</w:t>
            </w:r>
          </w:p>
        </w:tc>
        <w:tc>
          <w:tcPr>
            <w:tcW w:w="1503" w:type="dxa"/>
            <w:gridSpan w:val="4"/>
            <w:vAlign w:val="center"/>
          </w:tcPr>
          <w:p>
            <w:pPr>
              <w:spacing w:line="320" w:lineRule="exact"/>
              <w:jc w:val="distribute"/>
              <w:rPr>
                <w:rFonts w:eastAsia="楷体"/>
                <w:sz w:val="24"/>
              </w:rPr>
            </w:pPr>
            <w:r>
              <w:rPr>
                <w:sz w:val="24"/>
              </w:rPr>
              <w:t>是否续租</w:t>
            </w:r>
          </w:p>
        </w:tc>
        <w:tc>
          <w:tcPr>
            <w:tcW w:w="2716" w:type="dxa"/>
            <w:gridSpan w:val="8"/>
            <w:vAlign w:val="center"/>
          </w:tcPr>
          <w:p>
            <w:pPr>
              <w:spacing w:line="320" w:lineRule="exact"/>
              <w:jc w:val="left"/>
              <w:rPr>
                <w:rFonts w:ascii="楷体" w:hAnsi="楷体" w:eastAsia="楷体"/>
                <w:sz w:val="24"/>
              </w:rPr>
            </w:pPr>
            <w:r>
              <w:rPr>
                <w:rFonts w:ascii="楷体" w:hAnsi="楷体" w:eastAsia="楷体"/>
                <w:sz w:val="24"/>
              </w:rPr>
              <w:sym w:font="Wingdings 2" w:char="F0A3"/>
            </w:r>
            <w:r>
              <w:rPr>
                <w:rFonts w:hint="eastAsia" w:ascii="楷体" w:hAnsi="楷体" w:eastAsia="楷体"/>
                <w:sz w:val="24"/>
              </w:rPr>
              <w:t>是</w:t>
            </w:r>
            <w:r>
              <w:rPr>
                <w:rFonts w:ascii="楷体" w:hAnsi="楷体" w:eastAsia="楷体"/>
                <w:sz w:val="24"/>
              </w:rPr>
              <w:t xml:space="preserve">    </w:t>
            </w:r>
            <w:r>
              <w:rPr>
                <w:rFonts w:ascii="楷体" w:hAnsi="楷体" w:eastAsia="楷体"/>
                <w:sz w:val="24"/>
              </w:rPr>
              <w:sym w:font="Wingdings 2" w:char="F0A3"/>
            </w:r>
            <w:r>
              <w:rPr>
                <w:rFonts w:hint="eastAsia" w:ascii="楷体" w:hAnsi="楷体" w:eastAsia="楷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项目位置</w:t>
            </w:r>
          </w:p>
        </w:tc>
        <w:tc>
          <w:tcPr>
            <w:tcW w:w="7262" w:type="dxa"/>
            <w:gridSpan w:val="17"/>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项目四至</w:t>
            </w:r>
          </w:p>
        </w:tc>
        <w:tc>
          <w:tcPr>
            <w:tcW w:w="7262" w:type="dxa"/>
            <w:gridSpan w:val="17"/>
            <w:vAlign w:val="center"/>
          </w:tcPr>
          <w:p>
            <w:pPr>
              <w:spacing w:after="120" w:line="320" w:lineRule="exact"/>
              <w:rPr>
                <w:rFonts w:ascii="楷体" w:hAnsi="楷体" w:eastAsia="楷体"/>
                <w:sz w:val="24"/>
                <w:u w:val="single"/>
              </w:rPr>
            </w:pPr>
            <w:r>
              <w:rPr>
                <w:rFonts w:hint="eastAsia" w:ascii="楷体" w:hAnsi="楷体" w:eastAsia="楷体"/>
                <w:sz w:val="24"/>
              </w:rPr>
              <w:t>东至</w:t>
            </w:r>
            <w:r>
              <w:rPr>
                <w:rFonts w:hint="eastAsia" w:ascii="楷体" w:hAnsi="楷体" w:eastAsia="楷体"/>
                <w:sz w:val="24"/>
                <w:u w:val="single"/>
              </w:rPr>
              <w:t xml:space="preserve">         </w:t>
            </w:r>
            <w:r>
              <w:rPr>
                <w:rFonts w:hint="eastAsia" w:ascii="楷体" w:hAnsi="楷体" w:eastAsia="楷体"/>
                <w:sz w:val="24"/>
              </w:rPr>
              <w:t>南至</w:t>
            </w:r>
            <w:r>
              <w:rPr>
                <w:rFonts w:hint="eastAsia" w:ascii="楷体" w:hAnsi="楷体" w:eastAsia="楷体"/>
                <w:sz w:val="24"/>
                <w:u w:val="single"/>
              </w:rPr>
              <w:t xml:space="preserve">         </w:t>
            </w:r>
            <w:r>
              <w:rPr>
                <w:rFonts w:hint="eastAsia" w:ascii="楷体" w:hAnsi="楷体" w:eastAsia="楷体"/>
                <w:sz w:val="24"/>
              </w:rPr>
              <w:t>西至</w:t>
            </w:r>
            <w:r>
              <w:rPr>
                <w:rFonts w:hint="eastAsia" w:ascii="楷体" w:hAnsi="楷体" w:eastAsia="楷体"/>
                <w:sz w:val="24"/>
                <w:u w:val="single"/>
              </w:rPr>
              <w:t xml:space="preserve">          </w:t>
            </w:r>
            <w:r>
              <w:rPr>
                <w:rFonts w:hint="eastAsia" w:ascii="楷体" w:hAnsi="楷体" w:eastAsia="楷体"/>
                <w:sz w:val="24"/>
              </w:rPr>
              <w:t>北至</w:t>
            </w:r>
            <w:r>
              <w:rPr>
                <w:rFonts w:hint="eastAsia" w:ascii="楷体" w:hAnsi="楷体" w:eastAsia="楷体"/>
                <w:sz w:val="24"/>
                <w:u w:val="single"/>
              </w:rPr>
              <w:t xml:space="preserve">             </w:t>
            </w:r>
            <w:r>
              <w:rPr>
                <w:rFonts w:hint="eastAsia" w:ascii="楷体" w:hAnsi="楷体" w:eastAsia="楷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3211" w:hRule="atLeast"/>
          <w:jc w:val="center"/>
        </w:trPr>
        <w:tc>
          <w:tcPr>
            <w:tcW w:w="1698" w:type="dxa"/>
            <w:gridSpan w:val="2"/>
            <w:vAlign w:val="center"/>
          </w:tcPr>
          <w:p>
            <w:pPr>
              <w:spacing w:line="320" w:lineRule="exact"/>
              <w:jc w:val="distribute"/>
              <w:rPr>
                <w:sz w:val="24"/>
              </w:rPr>
            </w:pPr>
            <w:r>
              <w:rPr>
                <w:sz w:val="24"/>
              </w:rPr>
              <w:t>项目描述</w:t>
            </w:r>
          </w:p>
        </w:tc>
        <w:tc>
          <w:tcPr>
            <w:tcW w:w="7262" w:type="dxa"/>
            <w:gridSpan w:val="17"/>
            <w:vAlign w:val="center"/>
          </w:tcPr>
          <w:p>
            <w:pPr>
              <w:spacing w:line="320" w:lineRule="exact"/>
              <w:jc w:val="lef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交易面积</w:t>
            </w:r>
          </w:p>
        </w:tc>
        <w:tc>
          <w:tcPr>
            <w:tcW w:w="7262" w:type="dxa"/>
            <w:gridSpan w:val="17"/>
            <w:vAlign w:val="center"/>
          </w:tcPr>
          <w:p>
            <w:pPr>
              <w:spacing w:line="320" w:lineRule="exact"/>
              <w:jc w:val="left"/>
              <w:rPr>
                <w:rFonts w:ascii="楷体" w:hAnsi="楷体" w:eastAsia="楷体"/>
                <w:sz w:val="24"/>
              </w:rPr>
            </w:pPr>
            <w:r>
              <w:rPr>
                <w:rFonts w:hint="eastAsia" w:ascii="楷体" w:hAnsi="楷体" w:eastAsia="楷体"/>
                <w:sz w:val="24"/>
                <w:u w:val="single"/>
              </w:rPr>
              <w:t xml:space="preserve">       </w:t>
            </w:r>
            <w:r>
              <w:rPr>
                <w:rFonts w:hint="eastAsia" w:ascii="楷体" w:hAnsi="楷体" w:eastAsia="楷体"/>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附属设施</w:t>
            </w:r>
          </w:p>
        </w:tc>
        <w:tc>
          <w:tcPr>
            <w:tcW w:w="7262" w:type="dxa"/>
            <w:gridSpan w:val="17"/>
            <w:vAlign w:val="center"/>
          </w:tcPr>
          <w:p>
            <w:pPr>
              <w:spacing w:line="320" w:lineRule="exact"/>
              <w:jc w:val="lef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补充说明</w:t>
            </w:r>
          </w:p>
        </w:tc>
        <w:tc>
          <w:tcPr>
            <w:tcW w:w="7262" w:type="dxa"/>
            <w:gridSpan w:val="17"/>
            <w:vAlign w:val="center"/>
          </w:tcPr>
          <w:p>
            <w:pPr>
              <w:spacing w:line="320" w:lineRule="exact"/>
              <w:jc w:val="lef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8960" w:type="dxa"/>
            <w:gridSpan w:val="19"/>
            <w:vAlign w:val="center"/>
          </w:tcPr>
          <w:p>
            <w:pPr>
              <w:spacing w:line="320" w:lineRule="exact"/>
              <w:jc w:val="center"/>
              <w:rPr>
                <w:rFonts w:eastAsia="黑体"/>
                <w:b w:val="0"/>
                <w:bCs/>
                <w:sz w:val="24"/>
              </w:rPr>
            </w:pPr>
            <w:r>
              <w:rPr>
                <w:rFonts w:eastAsia="黑体"/>
                <w:b w:val="0"/>
                <w:bCs/>
                <w:sz w:val="24"/>
              </w:rPr>
              <w:t>产权权属信息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rFonts w:hint="eastAsia"/>
                <w:sz w:val="24"/>
              </w:rPr>
              <w:t>所有权人</w:t>
            </w:r>
          </w:p>
        </w:tc>
        <w:tc>
          <w:tcPr>
            <w:tcW w:w="3133" w:type="dxa"/>
            <w:gridSpan w:val="6"/>
            <w:vAlign w:val="center"/>
          </w:tcPr>
          <w:p>
            <w:pPr>
              <w:spacing w:line="320" w:lineRule="exact"/>
              <w:jc w:val="left"/>
              <w:rPr>
                <w:rFonts w:eastAsia="方正楷体_GBK"/>
                <w:sz w:val="24"/>
              </w:rPr>
            </w:pPr>
          </w:p>
        </w:tc>
        <w:tc>
          <w:tcPr>
            <w:tcW w:w="1817" w:type="dxa"/>
            <w:gridSpan w:val="4"/>
            <w:vAlign w:val="center"/>
          </w:tcPr>
          <w:p>
            <w:pPr>
              <w:jc w:val="distribute"/>
              <w:rPr>
                <w:sz w:val="24"/>
              </w:rPr>
            </w:pPr>
            <w:r>
              <w:rPr>
                <w:sz w:val="24"/>
              </w:rPr>
              <w:t>使用权人</w:t>
            </w:r>
          </w:p>
        </w:tc>
        <w:tc>
          <w:tcPr>
            <w:tcW w:w="2312" w:type="dxa"/>
            <w:gridSpan w:val="7"/>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权属类型</w:t>
            </w:r>
          </w:p>
        </w:tc>
        <w:tc>
          <w:tcPr>
            <w:tcW w:w="7262" w:type="dxa"/>
            <w:gridSpan w:val="17"/>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权证名称</w:t>
            </w:r>
          </w:p>
        </w:tc>
        <w:tc>
          <w:tcPr>
            <w:tcW w:w="3133" w:type="dxa"/>
            <w:gridSpan w:val="6"/>
            <w:vAlign w:val="center"/>
          </w:tcPr>
          <w:p>
            <w:pPr>
              <w:spacing w:line="320" w:lineRule="exact"/>
              <w:jc w:val="left"/>
              <w:rPr>
                <w:rFonts w:eastAsia="方正楷体_GBK"/>
                <w:sz w:val="24"/>
              </w:rPr>
            </w:pPr>
          </w:p>
        </w:tc>
        <w:tc>
          <w:tcPr>
            <w:tcW w:w="1817" w:type="dxa"/>
            <w:gridSpan w:val="4"/>
            <w:vAlign w:val="center"/>
          </w:tcPr>
          <w:p>
            <w:pPr>
              <w:spacing w:line="320" w:lineRule="exact"/>
              <w:jc w:val="distribute"/>
              <w:rPr>
                <w:sz w:val="24"/>
              </w:rPr>
            </w:pPr>
            <w:r>
              <w:rPr>
                <w:rFonts w:hint="eastAsia"/>
                <w:sz w:val="24"/>
              </w:rPr>
              <w:t>权证编号</w:t>
            </w:r>
          </w:p>
        </w:tc>
        <w:tc>
          <w:tcPr>
            <w:tcW w:w="2312" w:type="dxa"/>
            <w:gridSpan w:val="7"/>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权证年限</w:t>
            </w:r>
          </w:p>
        </w:tc>
        <w:tc>
          <w:tcPr>
            <w:tcW w:w="3133" w:type="dxa"/>
            <w:gridSpan w:val="6"/>
            <w:vAlign w:val="center"/>
          </w:tcPr>
          <w:p>
            <w:pPr>
              <w:spacing w:line="320" w:lineRule="exact"/>
              <w:jc w:val="left"/>
              <w:rPr>
                <w:rFonts w:eastAsia="方正楷体_GBK"/>
                <w:sz w:val="24"/>
              </w:rPr>
            </w:pPr>
          </w:p>
        </w:tc>
        <w:tc>
          <w:tcPr>
            <w:tcW w:w="2615" w:type="dxa"/>
            <w:gridSpan w:val="8"/>
            <w:vAlign w:val="center"/>
          </w:tcPr>
          <w:p>
            <w:pPr>
              <w:spacing w:line="320" w:lineRule="exact"/>
              <w:jc w:val="distribute"/>
              <w:rPr>
                <w:sz w:val="24"/>
              </w:rPr>
            </w:pPr>
            <w:r>
              <w:rPr>
                <w:sz w:val="24"/>
              </w:rPr>
              <w:t>是否存在其他权利人</w:t>
            </w:r>
          </w:p>
        </w:tc>
        <w:tc>
          <w:tcPr>
            <w:tcW w:w="1514" w:type="dxa"/>
            <w:gridSpan w:val="3"/>
            <w:vAlign w:val="center"/>
          </w:tcPr>
          <w:p>
            <w:pPr>
              <w:spacing w:line="320" w:lineRule="exact"/>
              <w:jc w:val="left"/>
              <w:rPr>
                <w:rFonts w:ascii="楷体" w:hAnsi="楷体" w:eastAsia="楷体"/>
                <w:sz w:val="24"/>
              </w:rPr>
            </w:pPr>
            <w:r>
              <w:rPr>
                <w:rFonts w:ascii="楷体" w:hAnsi="楷体" w:eastAsia="楷体"/>
                <w:sz w:val="24"/>
              </w:rPr>
              <w:sym w:font="Wingdings 2" w:char="F0A3"/>
            </w:r>
            <w:r>
              <w:rPr>
                <w:rFonts w:hint="eastAsia" w:ascii="楷体" w:hAnsi="楷体" w:eastAsia="楷体"/>
                <w:sz w:val="24"/>
              </w:rPr>
              <w:t xml:space="preserve">是   </w:t>
            </w:r>
            <w:r>
              <w:rPr>
                <w:rFonts w:ascii="楷体" w:hAnsi="楷体" w:eastAsia="楷体"/>
                <w:sz w:val="24"/>
              </w:rPr>
              <w:sym w:font="Wingdings 2" w:char="F0A3"/>
            </w:r>
            <w:r>
              <w:rPr>
                <w:rFonts w:hint="eastAsia" w:ascii="楷体" w:hAnsi="楷体" w:eastAsia="楷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他项权利人</w:t>
            </w:r>
          </w:p>
        </w:tc>
        <w:tc>
          <w:tcPr>
            <w:tcW w:w="3133" w:type="dxa"/>
            <w:gridSpan w:val="6"/>
            <w:vAlign w:val="center"/>
          </w:tcPr>
          <w:p>
            <w:pPr>
              <w:spacing w:line="320" w:lineRule="exact"/>
              <w:jc w:val="left"/>
              <w:rPr>
                <w:rFonts w:eastAsia="方正楷体_GBK"/>
                <w:sz w:val="24"/>
              </w:rPr>
            </w:pPr>
          </w:p>
        </w:tc>
        <w:tc>
          <w:tcPr>
            <w:tcW w:w="1817" w:type="dxa"/>
            <w:gridSpan w:val="4"/>
            <w:vAlign w:val="center"/>
          </w:tcPr>
          <w:p>
            <w:pPr>
              <w:spacing w:line="320" w:lineRule="exact"/>
              <w:jc w:val="distribute"/>
              <w:rPr>
                <w:sz w:val="24"/>
              </w:rPr>
            </w:pPr>
            <w:r>
              <w:rPr>
                <w:sz w:val="24"/>
              </w:rPr>
              <w:t>他项权利内容</w:t>
            </w:r>
          </w:p>
        </w:tc>
        <w:tc>
          <w:tcPr>
            <w:tcW w:w="2312" w:type="dxa"/>
            <w:gridSpan w:val="7"/>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8960" w:type="dxa"/>
            <w:gridSpan w:val="19"/>
            <w:vAlign w:val="center"/>
          </w:tcPr>
          <w:p>
            <w:pPr>
              <w:spacing w:line="320" w:lineRule="exact"/>
              <w:jc w:val="center"/>
              <w:rPr>
                <w:rFonts w:eastAsia="黑体"/>
                <w:b w:val="0"/>
                <w:bCs/>
                <w:sz w:val="24"/>
              </w:rPr>
            </w:pPr>
            <w:r>
              <w:rPr>
                <w:rFonts w:hint="eastAsia" w:eastAsia="黑体"/>
                <w:b w:val="0"/>
                <w:bCs/>
                <w:sz w:val="24"/>
              </w:rPr>
              <w:t>出让方</w:t>
            </w:r>
            <w:r>
              <w:rPr>
                <w:rFonts w:eastAsia="黑体"/>
                <w:b w:val="0"/>
                <w:bCs/>
                <w:sz w:val="24"/>
              </w:rPr>
              <w:t>和被委托人信息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rFonts w:hint="eastAsia"/>
                <w:sz w:val="24"/>
              </w:rPr>
              <w:t>出让方</w:t>
            </w:r>
          </w:p>
        </w:tc>
        <w:tc>
          <w:tcPr>
            <w:tcW w:w="3133" w:type="dxa"/>
            <w:gridSpan w:val="6"/>
            <w:vAlign w:val="center"/>
          </w:tcPr>
          <w:p>
            <w:pPr>
              <w:spacing w:line="320" w:lineRule="exact"/>
              <w:jc w:val="left"/>
              <w:rPr>
                <w:rFonts w:eastAsia="方正楷体_GBK"/>
                <w:sz w:val="24"/>
              </w:rPr>
            </w:pPr>
          </w:p>
        </w:tc>
        <w:tc>
          <w:tcPr>
            <w:tcW w:w="1817" w:type="dxa"/>
            <w:gridSpan w:val="4"/>
            <w:vAlign w:val="center"/>
          </w:tcPr>
          <w:p>
            <w:pPr>
              <w:spacing w:line="320" w:lineRule="exact"/>
              <w:jc w:val="distribute"/>
              <w:rPr>
                <w:sz w:val="24"/>
              </w:rPr>
            </w:pPr>
            <w:r>
              <w:rPr>
                <w:sz w:val="24"/>
              </w:rPr>
              <w:t>证件类型</w:t>
            </w:r>
          </w:p>
        </w:tc>
        <w:tc>
          <w:tcPr>
            <w:tcW w:w="2312" w:type="dxa"/>
            <w:gridSpan w:val="7"/>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证件号码</w:t>
            </w:r>
          </w:p>
        </w:tc>
        <w:tc>
          <w:tcPr>
            <w:tcW w:w="7262" w:type="dxa"/>
            <w:gridSpan w:val="17"/>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联系人</w:t>
            </w:r>
          </w:p>
        </w:tc>
        <w:tc>
          <w:tcPr>
            <w:tcW w:w="3133" w:type="dxa"/>
            <w:gridSpan w:val="6"/>
            <w:vAlign w:val="center"/>
          </w:tcPr>
          <w:p>
            <w:pPr>
              <w:spacing w:line="320" w:lineRule="exact"/>
              <w:jc w:val="left"/>
              <w:rPr>
                <w:rFonts w:eastAsia="方正楷体_GBK"/>
                <w:sz w:val="24"/>
              </w:rPr>
            </w:pPr>
          </w:p>
        </w:tc>
        <w:tc>
          <w:tcPr>
            <w:tcW w:w="1817" w:type="dxa"/>
            <w:gridSpan w:val="4"/>
            <w:vAlign w:val="center"/>
          </w:tcPr>
          <w:p>
            <w:pPr>
              <w:spacing w:line="320" w:lineRule="exact"/>
              <w:jc w:val="distribute"/>
              <w:rPr>
                <w:sz w:val="24"/>
              </w:rPr>
            </w:pPr>
            <w:r>
              <w:rPr>
                <w:sz w:val="24"/>
              </w:rPr>
              <w:t>联系电话</w:t>
            </w:r>
          </w:p>
        </w:tc>
        <w:tc>
          <w:tcPr>
            <w:tcW w:w="2312" w:type="dxa"/>
            <w:gridSpan w:val="7"/>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rFonts w:hint="eastAsia" w:ascii="宋体" w:hAnsi="宋体"/>
                <w:sz w:val="24"/>
              </w:rPr>
              <w:t>委托事项</w:t>
            </w:r>
          </w:p>
        </w:tc>
        <w:tc>
          <w:tcPr>
            <w:tcW w:w="7262" w:type="dxa"/>
            <w:gridSpan w:val="17"/>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rFonts w:hint="eastAsia" w:ascii="宋体" w:hAnsi="宋体"/>
                <w:sz w:val="24"/>
              </w:rPr>
              <w:t>委托期限</w:t>
            </w:r>
          </w:p>
        </w:tc>
        <w:tc>
          <w:tcPr>
            <w:tcW w:w="7262" w:type="dxa"/>
            <w:gridSpan w:val="17"/>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被委托人姓名</w:t>
            </w:r>
          </w:p>
        </w:tc>
        <w:tc>
          <w:tcPr>
            <w:tcW w:w="3133" w:type="dxa"/>
            <w:gridSpan w:val="6"/>
            <w:vAlign w:val="center"/>
          </w:tcPr>
          <w:p>
            <w:pPr>
              <w:spacing w:line="320" w:lineRule="exact"/>
              <w:jc w:val="left"/>
              <w:rPr>
                <w:rFonts w:eastAsia="方正楷体_GBK"/>
                <w:sz w:val="24"/>
              </w:rPr>
            </w:pPr>
          </w:p>
        </w:tc>
        <w:tc>
          <w:tcPr>
            <w:tcW w:w="2272" w:type="dxa"/>
            <w:gridSpan w:val="6"/>
            <w:vAlign w:val="center"/>
          </w:tcPr>
          <w:p>
            <w:pPr>
              <w:spacing w:line="320" w:lineRule="exact"/>
              <w:jc w:val="distribute"/>
              <w:rPr>
                <w:sz w:val="24"/>
              </w:rPr>
            </w:pPr>
            <w:r>
              <w:rPr>
                <w:sz w:val="24"/>
              </w:rPr>
              <w:t>被委托人联系电话</w:t>
            </w:r>
          </w:p>
        </w:tc>
        <w:tc>
          <w:tcPr>
            <w:tcW w:w="1857" w:type="dxa"/>
            <w:gridSpan w:val="5"/>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2404" w:type="dxa"/>
            <w:gridSpan w:val="3"/>
            <w:vAlign w:val="center"/>
          </w:tcPr>
          <w:p>
            <w:pPr>
              <w:spacing w:line="320" w:lineRule="exact"/>
              <w:jc w:val="distribute"/>
              <w:rPr>
                <w:sz w:val="24"/>
              </w:rPr>
            </w:pPr>
            <w:r>
              <w:rPr>
                <w:sz w:val="24"/>
              </w:rPr>
              <w:t>被委托人证件号码</w:t>
            </w:r>
          </w:p>
        </w:tc>
        <w:tc>
          <w:tcPr>
            <w:tcW w:w="6556" w:type="dxa"/>
            <w:gridSpan w:val="16"/>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8960" w:type="dxa"/>
            <w:gridSpan w:val="19"/>
            <w:vAlign w:val="center"/>
          </w:tcPr>
          <w:p>
            <w:pPr>
              <w:spacing w:line="320" w:lineRule="exact"/>
              <w:jc w:val="center"/>
              <w:rPr>
                <w:rFonts w:eastAsia="黑体"/>
                <w:b w:val="0"/>
                <w:bCs/>
                <w:sz w:val="24"/>
              </w:rPr>
            </w:pPr>
            <w:r>
              <w:rPr>
                <w:rFonts w:eastAsia="黑体"/>
                <w:b w:val="0"/>
                <w:bCs/>
                <w:sz w:val="24"/>
              </w:rPr>
              <w:t>产权评估信息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评估机构</w:t>
            </w:r>
          </w:p>
        </w:tc>
        <w:tc>
          <w:tcPr>
            <w:tcW w:w="3133" w:type="dxa"/>
            <w:gridSpan w:val="6"/>
            <w:vAlign w:val="center"/>
          </w:tcPr>
          <w:p>
            <w:pPr>
              <w:spacing w:line="320" w:lineRule="exact"/>
              <w:jc w:val="left"/>
              <w:rPr>
                <w:rFonts w:eastAsia="方正楷体_GBK"/>
                <w:sz w:val="24"/>
              </w:rPr>
            </w:pPr>
          </w:p>
        </w:tc>
        <w:tc>
          <w:tcPr>
            <w:tcW w:w="1817" w:type="dxa"/>
            <w:gridSpan w:val="4"/>
            <w:vAlign w:val="center"/>
          </w:tcPr>
          <w:p>
            <w:pPr>
              <w:spacing w:line="320" w:lineRule="exact"/>
              <w:jc w:val="distribute"/>
              <w:rPr>
                <w:sz w:val="24"/>
              </w:rPr>
            </w:pPr>
            <w:r>
              <w:rPr>
                <w:sz w:val="24"/>
              </w:rPr>
              <w:t>评估基准日</w:t>
            </w:r>
          </w:p>
        </w:tc>
        <w:tc>
          <w:tcPr>
            <w:tcW w:w="2312" w:type="dxa"/>
            <w:gridSpan w:val="7"/>
            <w:vAlign w:val="center"/>
          </w:tcPr>
          <w:p>
            <w:pPr>
              <w:spacing w:line="320" w:lineRule="exact"/>
              <w:jc w:val="lef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1698" w:type="dxa"/>
            <w:gridSpan w:val="2"/>
            <w:vAlign w:val="center"/>
          </w:tcPr>
          <w:p>
            <w:pPr>
              <w:spacing w:line="320" w:lineRule="exact"/>
              <w:jc w:val="distribute"/>
              <w:rPr>
                <w:sz w:val="24"/>
              </w:rPr>
            </w:pPr>
            <w:r>
              <w:rPr>
                <w:sz w:val="24"/>
              </w:rPr>
              <w:t>评估值</w:t>
            </w:r>
          </w:p>
        </w:tc>
        <w:tc>
          <w:tcPr>
            <w:tcW w:w="3133" w:type="dxa"/>
            <w:gridSpan w:val="6"/>
            <w:vAlign w:val="center"/>
          </w:tcPr>
          <w:p>
            <w:pPr>
              <w:spacing w:line="320" w:lineRule="exact"/>
              <w:jc w:val="left"/>
              <w:rPr>
                <w:rFonts w:eastAsia="楷体"/>
                <w:sz w:val="24"/>
              </w:rPr>
            </w:pPr>
          </w:p>
        </w:tc>
        <w:tc>
          <w:tcPr>
            <w:tcW w:w="1817" w:type="dxa"/>
            <w:gridSpan w:val="4"/>
            <w:vAlign w:val="center"/>
          </w:tcPr>
          <w:p>
            <w:pPr>
              <w:spacing w:line="320" w:lineRule="exact"/>
              <w:rPr>
                <w:rFonts w:eastAsia="楷体"/>
                <w:sz w:val="24"/>
              </w:rPr>
            </w:pPr>
          </w:p>
        </w:tc>
        <w:tc>
          <w:tcPr>
            <w:tcW w:w="2312" w:type="dxa"/>
            <w:gridSpan w:val="7"/>
            <w:vAlign w:val="center"/>
          </w:tcPr>
          <w:p>
            <w:pPr>
              <w:spacing w:line="320" w:lineRule="exac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8960" w:type="dxa"/>
            <w:gridSpan w:val="19"/>
            <w:vAlign w:val="center"/>
          </w:tcPr>
          <w:p>
            <w:pPr>
              <w:spacing w:line="320" w:lineRule="exact"/>
              <w:jc w:val="center"/>
              <w:rPr>
                <w:rFonts w:eastAsia="黑体"/>
                <w:b w:val="0"/>
                <w:bCs/>
                <w:sz w:val="24"/>
              </w:rPr>
            </w:pPr>
            <w:r>
              <w:rPr>
                <w:rFonts w:eastAsia="黑体"/>
                <w:b w:val="0"/>
                <w:bCs/>
                <w:sz w:val="24"/>
              </w:rPr>
              <w:t>标段情况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510" w:hRule="atLeast"/>
          <w:jc w:val="center"/>
        </w:trPr>
        <w:tc>
          <w:tcPr>
            <w:tcW w:w="723" w:type="dxa"/>
            <w:vAlign w:val="center"/>
          </w:tcPr>
          <w:p>
            <w:pPr>
              <w:widowControl/>
              <w:jc w:val="center"/>
              <w:rPr>
                <w:sz w:val="24"/>
              </w:rPr>
            </w:pPr>
            <w:r>
              <w:rPr>
                <w:sz w:val="24"/>
              </w:rPr>
              <w:t>编号</w:t>
            </w:r>
          </w:p>
        </w:tc>
        <w:tc>
          <w:tcPr>
            <w:tcW w:w="2241" w:type="dxa"/>
            <w:gridSpan w:val="3"/>
            <w:vAlign w:val="center"/>
          </w:tcPr>
          <w:p>
            <w:pPr>
              <w:widowControl/>
              <w:jc w:val="center"/>
              <w:rPr>
                <w:sz w:val="24"/>
              </w:rPr>
            </w:pPr>
            <w:r>
              <w:rPr>
                <w:sz w:val="24"/>
              </w:rPr>
              <w:t>标段概况</w:t>
            </w:r>
          </w:p>
        </w:tc>
        <w:tc>
          <w:tcPr>
            <w:tcW w:w="1320" w:type="dxa"/>
            <w:vAlign w:val="center"/>
          </w:tcPr>
          <w:p>
            <w:pPr>
              <w:widowControl/>
              <w:jc w:val="center"/>
              <w:rPr>
                <w:sz w:val="24"/>
              </w:rPr>
            </w:pPr>
            <w:r>
              <w:rPr>
                <w:sz w:val="24"/>
              </w:rPr>
              <w:t>面积</w:t>
            </w:r>
          </w:p>
          <w:p>
            <w:pPr>
              <w:widowControl/>
              <w:jc w:val="center"/>
              <w:rPr>
                <w:sz w:val="24"/>
              </w:rPr>
            </w:pPr>
            <w:r>
              <w:rPr>
                <w:sz w:val="24"/>
              </w:rPr>
              <w:t>（平方米）</w:t>
            </w:r>
          </w:p>
        </w:tc>
        <w:tc>
          <w:tcPr>
            <w:tcW w:w="831" w:type="dxa"/>
            <w:gridSpan w:val="4"/>
            <w:vAlign w:val="center"/>
          </w:tcPr>
          <w:p>
            <w:pPr>
              <w:widowControl/>
              <w:jc w:val="center"/>
              <w:rPr>
                <w:sz w:val="24"/>
              </w:rPr>
            </w:pPr>
            <w:r>
              <w:rPr>
                <w:rFonts w:hint="eastAsia"/>
                <w:sz w:val="24"/>
              </w:rPr>
              <w:t>交易期限</w:t>
            </w:r>
          </w:p>
        </w:tc>
        <w:tc>
          <w:tcPr>
            <w:tcW w:w="813" w:type="dxa"/>
            <w:vAlign w:val="center"/>
          </w:tcPr>
          <w:p>
            <w:pPr>
              <w:widowControl/>
              <w:jc w:val="center"/>
              <w:rPr>
                <w:sz w:val="24"/>
              </w:rPr>
            </w:pPr>
            <w:r>
              <w:rPr>
                <w:rFonts w:hint="eastAsia"/>
                <w:sz w:val="24"/>
              </w:rPr>
              <w:t>交易低价</w:t>
            </w:r>
          </w:p>
        </w:tc>
        <w:tc>
          <w:tcPr>
            <w:tcW w:w="850" w:type="dxa"/>
            <w:gridSpan w:val="3"/>
            <w:vAlign w:val="center"/>
          </w:tcPr>
          <w:p>
            <w:pPr>
              <w:widowControl/>
              <w:jc w:val="center"/>
              <w:rPr>
                <w:sz w:val="24"/>
              </w:rPr>
            </w:pPr>
            <w:r>
              <w:rPr>
                <w:rFonts w:hint="eastAsia"/>
                <w:sz w:val="24"/>
              </w:rPr>
              <w:t>加价幅度</w:t>
            </w:r>
          </w:p>
        </w:tc>
        <w:tc>
          <w:tcPr>
            <w:tcW w:w="1048" w:type="dxa"/>
            <w:gridSpan w:val="4"/>
            <w:vAlign w:val="center"/>
          </w:tcPr>
          <w:p>
            <w:pPr>
              <w:widowControl/>
              <w:jc w:val="center"/>
              <w:rPr>
                <w:sz w:val="24"/>
              </w:rPr>
            </w:pPr>
            <w:r>
              <w:rPr>
                <w:sz w:val="24"/>
              </w:rPr>
              <w:t>报名费</w:t>
            </w:r>
          </w:p>
          <w:p>
            <w:pPr>
              <w:widowControl/>
              <w:jc w:val="center"/>
              <w:rPr>
                <w:sz w:val="24"/>
              </w:rPr>
            </w:pPr>
            <w:r>
              <w:rPr>
                <w:sz w:val="24"/>
              </w:rPr>
              <w:t>（元）</w:t>
            </w:r>
          </w:p>
        </w:tc>
        <w:tc>
          <w:tcPr>
            <w:tcW w:w="1134" w:type="dxa"/>
            <w:gridSpan w:val="2"/>
            <w:vAlign w:val="center"/>
          </w:tcPr>
          <w:p>
            <w:pPr>
              <w:widowControl/>
              <w:jc w:val="center"/>
              <w:rPr>
                <w:sz w:val="24"/>
              </w:rPr>
            </w:pPr>
            <w:r>
              <w:rPr>
                <w:sz w:val="24"/>
              </w:rPr>
              <w:t>保证金</w:t>
            </w:r>
          </w:p>
          <w:p>
            <w:pPr>
              <w:widowControl/>
              <w:jc w:val="center"/>
              <w:rPr>
                <w:sz w:val="24"/>
              </w:rPr>
            </w:pPr>
            <w:r>
              <w:rPr>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1593" w:hRule="atLeast"/>
          <w:jc w:val="center"/>
        </w:trPr>
        <w:tc>
          <w:tcPr>
            <w:tcW w:w="723" w:type="dxa"/>
            <w:vAlign w:val="center"/>
          </w:tcPr>
          <w:p>
            <w:pPr>
              <w:spacing w:line="320" w:lineRule="exact"/>
              <w:rPr>
                <w:rFonts w:eastAsia="楷体"/>
                <w:sz w:val="24"/>
              </w:rPr>
            </w:pPr>
          </w:p>
        </w:tc>
        <w:tc>
          <w:tcPr>
            <w:tcW w:w="2241" w:type="dxa"/>
            <w:gridSpan w:val="3"/>
            <w:vAlign w:val="center"/>
          </w:tcPr>
          <w:p>
            <w:pPr>
              <w:spacing w:line="320" w:lineRule="exact"/>
              <w:rPr>
                <w:rFonts w:eastAsia="楷体"/>
                <w:sz w:val="24"/>
              </w:rPr>
            </w:pPr>
          </w:p>
        </w:tc>
        <w:tc>
          <w:tcPr>
            <w:tcW w:w="1320" w:type="dxa"/>
            <w:vAlign w:val="center"/>
          </w:tcPr>
          <w:p>
            <w:pPr>
              <w:spacing w:line="320" w:lineRule="exact"/>
              <w:jc w:val="right"/>
              <w:rPr>
                <w:rFonts w:eastAsia="楷体"/>
                <w:sz w:val="24"/>
              </w:rPr>
            </w:pPr>
          </w:p>
        </w:tc>
        <w:tc>
          <w:tcPr>
            <w:tcW w:w="831" w:type="dxa"/>
            <w:gridSpan w:val="4"/>
            <w:vAlign w:val="center"/>
          </w:tcPr>
          <w:p>
            <w:pPr>
              <w:spacing w:line="320" w:lineRule="exact"/>
              <w:jc w:val="right"/>
              <w:rPr>
                <w:rFonts w:eastAsia="楷体"/>
                <w:sz w:val="24"/>
              </w:rPr>
            </w:pPr>
          </w:p>
        </w:tc>
        <w:tc>
          <w:tcPr>
            <w:tcW w:w="813" w:type="dxa"/>
            <w:vAlign w:val="center"/>
          </w:tcPr>
          <w:p>
            <w:pPr>
              <w:spacing w:line="320" w:lineRule="exact"/>
              <w:jc w:val="right"/>
              <w:rPr>
                <w:rFonts w:eastAsia="楷体"/>
                <w:sz w:val="24"/>
              </w:rPr>
            </w:pPr>
          </w:p>
        </w:tc>
        <w:tc>
          <w:tcPr>
            <w:tcW w:w="850" w:type="dxa"/>
            <w:gridSpan w:val="3"/>
            <w:vAlign w:val="center"/>
          </w:tcPr>
          <w:p>
            <w:pPr>
              <w:spacing w:line="320" w:lineRule="exact"/>
              <w:jc w:val="right"/>
              <w:rPr>
                <w:rFonts w:eastAsia="楷体"/>
                <w:sz w:val="24"/>
              </w:rPr>
            </w:pPr>
          </w:p>
        </w:tc>
        <w:tc>
          <w:tcPr>
            <w:tcW w:w="1048" w:type="dxa"/>
            <w:gridSpan w:val="4"/>
            <w:vAlign w:val="center"/>
          </w:tcPr>
          <w:p>
            <w:pPr>
              <w:spacing w:line="320" w:lineRule="exact"/>
              <w:jc w:val="right"/>
              <w:rPr>
                <w:rFonts w:eastAsia="楷体"/>
                <w:sz w:val="24"/>
              </w:rPr>
            </w:pPr>
          </w:p>
        </w:tc>
        <w:tc>
          <w:tcPr>
            <w:tcW w:w="1134" w:type="dxa"/>
            <w:gridSpan w:val="2"/>
            <w:vAlign w:val="center"/>
          </w:tcPr>
          <w:p>
            <w:pPr>
              <w:spacing w:line="320" w:lineRule="exact"/>
              <w:jc w:val="righ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 w:type="dxa"/>
          <w:trHeight w:val="1593" w:hRule="atLeast"/>
          <w:jc w:val="center"/>
        </w:trPr>
        <w:tc>
          <w:tcPr>
            <w:tcW w:w="723" w:type="dxa"/>
            <w:vAlign w:val="center"/>
          </w:tcPr>
          <w:p>
            <w:pPr>
              <w:spacing w:line="320" w:lineRule="exact"/>
              <w:rPr>
                <w:rFonts w:eastAsia="楷体"/>
                <w:sz w:val="24"/>
              </w:rPr>
            </w:pPr>
          </w:p>
        </w:tc>
        <w:tc>
          <w:tcPr>
            <w:tcW w:w="2241" w:type="dxa"/>
            <w:gridSpan w:val="3"/>
            <w:vAlign w:val="center"/>
          </w:tcPr>
          <w:p>
            <w:pPr>
              <w:spacing w:line="320" w:lineRule="exact"/>
              <w:rPr>
                <w:rFonts w:eastAsia="楷体"/>
                <w:sz w:val="24"/>
              </w:rPr>
            </w:pPr>
          </w:p>
        </w:tc>
        <w:tc>
          <w:tcPr>
            <w:tcW w:w="1320" w:type="dxa"/>
            <w:vAlign w:val="center"/>
          </w:tcPr>
          <w:p>
            <w:pPr>
              <w:spacing w:line="320" w:lineRule="exact"/>
              <w:jc w:val="right"/>
              <w:rPr>
                <w:rFonts w:eastAsia="楷体"/>
                <w:sz w:val="24"/>
              </w:rPr>
            </w:pPr>
          </w:p>
        </w:tc>
        <w:tc>
          <w:tcPr>
            <w:tcW w:w="831" w:type="dxa"/>
            <w:gridSpan w:val="4"/>
            <w:vAlign w:val="center"/>
          </w:tcPr>
          <w:p>
            <w:pPr>
              <w:spacing w:line="320" w:lineRule="exact"/>
              <w:jc w:val="right"/>
              <w:rPr>
                <w:rFonts w:eastAsia="楷体"/>
                <w:sz w:val="24"/>
              </w:rPr>
            </w:pPr>
          </w:p>
        </w:tc>
        <w:tc>
          <w:tcPr>
            <w:tcW w:w="813" w:type="dxa"/>
            <w:vAlign w:val="center"/>
          </w:tcPr>
          <w:p>
            <w:pPr>
              <w:spacing w:line="320" w:lineRule="exact"/>
              <w:jc w:val="right"/>
              <w:rPr>
                <w:rFonts w:eastAsia="楷体"/>
                <w:sz w:val="24"/>
              </w:rPr>
            </w:pPr>
          </w:p>
        </w:tc>
        <w:tc>
          <w:tcPr>
            <w:tcW w:w="850" w:type="dxa"/>
            <w:gridSpan w:val="3"/>
            <w:vAlign w:val="center"/>
          </w:tcPr>
          <w:p>
            <w:pPr>
              <w:spacing w:line="320" w:lineRule="exact"/>
              <w:jc w:val="right"/>
              <w:rPr>
                <w:rFonts w:eastAsia="楷体"/>
                <w:sz w:val="24"/>
              </w:rPr>
            </w:pPr>
          </w:p>
        </w:tc>
        <w:tc>
          <w:tcPr>
            <w:tcW w:w="1048" w:type="dxa"/>
            <w:gridSpan w:val="4"/>
            <w:vAlign w:val="center"/>
          </w:tcPr>
          <w:p>
            <w:pPr>
              <w:spacing w:line="320" w:lineRule="exact"/>
              <w:jc w:val="right"/>
              <w:rPr>
                <w:rFonts w:eastAsia="楷体"/>
                <w:sz w:val="24"/>
              </w:rPr>
            </w:pPr>
          </w:p>
        </w:tc>
        <w:tc>
          <w:tcPr>
            <w:tcW w:w="1134" w:type="dxa"/>
            <w:gridSpan w:val="2"/>
            <w:vAlign w:val="center"/>
          </w:tcPr>
          <w:p>
            <w:pPr>
              <w:spacing w:line="320" w:lineRule="exact"/>
              <w:jc w:val="right"/>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9" w:hRule="atLeast"/>
          <w:jc w:val="center"/>
        </w:trPr>
        <w:tc>
          <w:tcPr>
            <w:tcW w:w="9003" w:type="dxa"/>
            <w:gridSpan w:val="20"/>
            <w:vAlign w:val="center"/>
          </w:tcPr>
          <w:p>
            <w:pPr>
              <w:widowControl/>
              <w:adjustRightInd w:val="0"/>
              <w:snapToGrid w:val="0"/>
              <w:spacing w:line="340" w:lineRule="exact"/>
              <w:ind w:firstLine="420" w:firstLineChars="200"/>
              <w:jc w:val="left"/>
              <w:rPr>
                <w:rFonts w:ascii="宋体" w:hAnsi="宋体"/>
                <w:kern w:val="0"/>
                <w:szCs w:val="21"/>
              </w:rPr>
            </w:pPr>
            <w:r>
              <w:rPr>
                <w:rFonts w:hint="eastAsia" w:ascii="宋体" w:hAnsi="宋体"/>
                <w:kern w:val="0"/>
                <w:szCs w:val="21"/>
              </w:rPr>
              <w:t>按照公开、公平、公正、诚实的原则，我方作出如下承诺：1</w:t>
            </w:r>
            <w:r>
              <w:rPr>
                <w:rFonts w:ascii="宋体" w:hAnsi="宋体"/>
                <w:kern w:val="0"/>
                <w:szCs w:val="21"/>
              </w:rPr>
              <w:t>.</w:t>
            </w:r>
            <w:r>
              <w:rPr>
                <w:rFonts w:hint="eastAsia" w:ascii="宋体" w:hAnsi="宋体"/>
                <w:kern w:val="0"/>
                <w:szCs w:val="21"/>
              </w:rPr>
              <w:t>本次出让是我方真实意愿表示，以上填写的信息及所提交材料内容不存在虚假记载、误导性陈述或重大遗漏，我方对其真实性、完整性、合法性、有效性承担相应的法律责任；2</w:t>
            </w:r>
            <w:r>
              <w:rPr>
                <w:rFonts w:ascii="宋体" w:hAnsi="宋体"/>
                <w:kern w:val="0"/>
                <w:szCs w:val="21"/>
              </w:rPr>
              <w:t>.</w:t>
            </w:r>
            <w:r>
              <w:rPr>
                <w:rFonts w:hint="eastAsia" w:ascii="宋体" w:hAnsi="宋体"/>
                <w:kern w:val="0"/>
                <w:szCs w:val="21"/>
              </w:rPr>
              <w:t>我方拟出让标的权属清晰无争议，并履行了规范的民主决策程序及相应的审核手续；3</w:t>
            </w:r>
            <w:r>
              <w:rPr>
                <w:rFonts w:ascii="宋体" w:hAnsi="宋体"/>
                <w:kern w:val="0"/>
                <w:szCs w:val="21"/>
              </w:rPr>
              <w:t>.</w:t>
            </w:r>
            <w:r>
              <w:rPr>
                <w:rFonts w:hint="eastAsia" w:ascii="宋体" w:hAnsi="宋体"/>
                <w:kern w:val="0"/>
                <w:szCs w:val="21"/>
              </w:rPr>
              <w:t>我方</w:t>
            </w:r>
            <w:r>
              <w:rPr>
                <w:rFonts w:hint="eastAsia" w:ascii="宋体" w:hAnsi="宋体"/>
                <w:bCs/>
                <w:kern w:val="0"/>
                <w:szCs w:val="21"/>
              </w:rPr>
              <w:t>充分了解、接受该项目信息发布的全部内容和要求，并认真考虑了</w:t>
            </w:r>
            <w:r>
              <w:rPr>
                <w:rFonts w:hint="eastAsia" w:ascii="宋体" w:hAnsi="宋体"/>
                <w:kern w:val="0"/>
                <w:szCs w:val="21"/>
              </w:rPr>
              <w:t>不可预计的</w:t>
            </w:r>
            <w:r>
              <w:rPr>
                <w:rFonts w:hint="eastAsia" w:ascii="宋体" w:hAnsi="宋体"/>
                <w:bCs/>
                <w:kern w:val="0"/>
                <w:szCs w:val="21"/>
              </w:rPr>
              <w:t>各项风险因素，</w:t>
            </w:r>
            <w:r>
              <w:rPr>
                <w:rFonts w:hint="eastAsia" w:ascii="宋体" w:hAnsi="宋体"/>
                <w:kern w:val="0"/>
                <w:szCs w:val="21"/>
              </w:rPr>
              <w:t>愿意承担</w:t>
            </w:r>
            <w:r>
              <w:rPr>
                <w:rFonts w:hint="eastAsia" w:ascii="宋体" w:hAnsi="宋体"/>
                <w:bCs/>
                <w:kern w:val="0"/>
                <w:szCs w:val="21"/>
              </w:rPr>
              <w:t>可能存在的一切</w:t>
            </w:r>
            <w:r>
              <w:rPr>
                <w:rFonts w:hint="eastAsia" w:ascii="宋体" w:hAnsi="宋体"/>
                <w:kern w:val="0"/>
                <w:szCs w:val="21"/>
              </w:rPr>
              <w:t>交易风险；4</w:t>
            </w:r>
            <w:r>
              <w:rPr>
                <w:rFonts w:ascii="宋体" w:hAnsi="宋体"/>
                <w:kern w:val="0"/>
                <w:szCs w:val="21"/>
              </w:rPr>
              <w:t>.</w:t>
            </w:r>
            <w:r>
              <w:rPr>
                <w:rFonts w:hint="eastAsia" w:ascii="宋体" w:hAnsi="宋体"/>
                <w:kern w:val="0"/>
                <w:szCs w:val="21"/>
              </w:rPr>
              <w:t>我方将积极配合交易机构的交易行为，按照要求履行我方义务，遵守有关法律法规，遵守相关交易规则。</w:t>
            </w:r>
          </w:p>
          <w:p>
            <w:pPr>
              <w:widowControl/>
              <w:adjustRightInd w:val="0"/>
              <w:snapToGrid w:val="0"/>
              <w:spacing w:line="340" w:lineRule="exact"/>
              <w:ind w:firstLine="420" w:firstLineChars="200"/>
              <w:jc w:val="left"/>
              <w:rPr>
                <w:rFonts w:ascii="宋体" w:hAnsi="宋体"/>
                <w:kern w:val="0"/>
                <w:szCs w:val="21"/>
              </w:rPr>
            </w:pPr>
          </w:p>
          <w:p>
            <w:pPr>
              <w:widowControl/>
              <w:adjustRightInd w:val="0"/>
              <w:snapToGrid w:val="0"/>
              <w:spacing w:line="340" w:lineRule="exact"/>
              <w:ind w:firstLine="420" w:firstLineChars="200"/>
              <w:jc w:val="left"/>
              <w:rPr>
                <w:rFonts w:ascii="宋体" w:hAnsi="宋体"/>
                <w:kern w:val="0"/>
                <w:szCs w:val="21"/>
              </w:rPr>
            </w:pPr>
          </w:p>
          <w:p>
            <w:pPr>
              <w:widowControl/>
              <w:adjustRightInd w:val="0"/>
              <w:snapToGrid w:val="0"/>
              <w:spacing w:line="340" w:lineRule="exact"/>
              <w:ind w:firstLine="411" w:firstLineChars="196"/>
              <w:jc w:val="center"/>
              <w:rPr>
                <w:rFonts w:ascii="宋体" w:hAnsi="宋体"/>
                <w:kern w:val="0"/>
                <w:szCs w:val="21"/>
              </w:rPr>
            </w:pPr>
            <w:r>
              <w:rPr>
                <w:rFonts w:hint="eastAsia" w:ascii="宋体" w:hAnsi="宋体"/>
                <w:kern w:val="0"/>
                <w:szCs w:val="21"/>
              </w:rPr>
              <w:t xml:space="preserve">                         出让方（签名/盖章）：</w:t>
            </w:r>
          </w:p>
          <w:p>
            <w:pPr>
              <w:widowControl/>
              <w:adjustRightInd w:val="0"/>
              <w:snapToGrid w:val="0"/>
              <w:spacing w:line="340" w:lineRule="exact"/>
              <w:ind w:firstLine="411" w:firstLineChars="196"/>
              <w:jc w:val="center"/>
              <w:rPr>
                <w:rFonts w:ascii="宋体" w:hAnsi="宋体"/>
                <w:kern w:val="0"/>
                <w:szCs w:val="21"/>
              </w:rPr>
            </w:pPr>
            <w:r>
              <w:rPr>
                <w:rFonts w:hint="eastAsia" w:ascii="宋体" w:hAnsi="宋体"/>
                <w:kern w:val="0"/>
                <w:szCs w:val="21"/>
              </w:rPr>
              <w:t xml:space="preserve">                                         </w:t>
            </w:r>
          </w:p>
          <w:p>
            <w:pPr>
              <w:widowControl/>
              <w:adjustRightInd w:val="0"/>
              <w:snapToGrid w:val="0"/>
              <w:spacing w:line="340" w:lineRule="exact"/>
              <w:ind w:firstLine="411" w:firstLineChars="196"/>
              <w:jc w:val="center"/>
              <w:rPr>
                <w:rFonts w:eastAsia="微软雅黑"/>
                <w:kern w:val="0"/>
                <w:sz w:val="24"/>
              </w:rPr>
            </w:pPr>
            <w:r>
              <w:rPr>
                <w:rFonts w:hint="eastAsia" w:ascii="宋体" w:hAnsi="宋体"/>
                <w:kern w:val="0"/>
                <w:szCs w:val="21"/>
              </w:rPr>
              <w:t xml:space="preserve">                                         年  </w:t>
            </w:r>
            <w:r>
              <w:rPr>
                <w:rFonts w:ascii="宋体" w:hAnsi="宋体"/>
                <w:kern w:val="0"/>
                <w:szCs w:val="21"/>
              </w:rPr>
              <w:t xml:space="preserve"> </w:t>
            </w:r>
            <w:r>
              <w:rPr>
                <w:rFonts w:hint="eastAsia" w:ascii="宋体" w:hAnsi="宋体"/>
                <w:kern w:val="0"/>
                <w:szCs w:val="21"/>
              </w:rPr>
              <w:t xml:space="preserve">月 </w:t>
            </w:r>
            <w:r>
              <w:rPr>
                <w:rFonts w:ascii="宋体" w:hAnsi="宋体"/>
                <w:kern w:val="0"/>
                <w:szCs w:val="21"/>
              </w:rPr>
              <w:t xml:space="preserve">  </w:t>
            </w:r>
            <w:r>
              <w:rPr>
                <w:rFonts w:hint="eastAsia" w:ascii="宋体" w:hAnsi="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436" w:type="dxa"/>
            <w:gridSpan w:val="6"/>
            <w:vAlign w:val="center"/>
          </w:tcPr>
          <w:p>
            <w:pPr>
              <w:spacing w:line="320" w:lineRule="exact"/>
              <w:jc w:val="left"/>
              <w:rPr>
                <w:rFonts w:ascii="宋体" w:hAnsi="宋体"/>
                <w:sz w:val="24"/>
              </w:rPr>
            </w:pPr>
            <w:r>
              <w:rPr>
                <w:rFonts w:ascii="宋体" w:hAnsi="宋体"/>
                <w:sz w:val="24"/>
              </w:rPr>
              <w:t>村集体经济组织或村委会意见</w:t>
            </w:r>
          </w:p>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ind w:firstLine="1920" w:firstLineChars="800"/>
              <w:rPr>
                <w:rFonts w:ascii="宋体" w:hAnsi="宋体"/>
                <w:sz w:val="24"/>
              </w:rPr>
            </w:pPr>
            <w:r>
              <w:rPr>
                <w:rFonts w:ascii="宋体" w:hAnsi="宋体"/>
                <w:sz w:val="24"/>
              </w:rPr>
              <w:t>签名：</w:t>
            </w:r>
          </w:p>
          <w:p>
            <w:pPr>
              <w:spacing w:line="320" w:lineRule="exact"/>
              <w:ind w:firstLine="1920" w:firstLineChars="800"/>
              <w:rPr>
                <w:rFonts w:ascii="宋体" w:hAnsi="宋体"/>
                <w:sz w:val="24"/>
              </w:rPr>
            </w:pPr>
            <w:r>
              <w:rPr>
                <w:rFonts w:ascii="宋体" w:hAnsi="宋体"/>
                <w:sz w:val="24"/>
              </w:rPr>
              <w:t>盖章：</w:t>
            </w:r>
          </w:p>
          <w:p>
            <w:pPr>
              <w:spacing w:line="320" w:lineRule="exact"/>
              <w:ind w:firstLine="1920" w:firstLineChars="800"/>
              <w:rPr>
                <w:rFonts w:ascii="宋体" w:hAnsi="宋体"/>
                <w:sz w:val="24"/>
              </w:rPr>
            </w:pPr>
          </w:p>
          <w:p>
            <w:pPr>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年</w:t>
            </w:r>
            <w:r>
              <w:rPr>
                <w:rFonts w:hint="eastAsia" w:ascii="宋体" w:hAnsi="宋体"/>
                <w:sz w:val="24"/>
              </w:rPr>
              <w:t xml:space="preserve"> </w:t>
            </w:r>
            <w:r>
              <w:rPr>
                <w:rFonts w:ascii="宋体" w:hAnsi="宋体"/>
                <w:sz w:val="24"/>
              </w:rPr>
              <w:t xml:space="preserve"> 月  日</w:t>
            </w:r>
          </w:p>
        </w:tc>
        <w:tc>
          <w:tcPr>
            <w:tcW w:w="4567" w:type="dxa"/>
            <w:gridSpan w:val="14"/>
            <w:vAlign w:val="center"/>
          </w:tcPr>
          <w:p>
            <w:pPr>
              <w:spacing w:line="320" w:lineRule="exact"/>
              <w:jc w:val="left"/>
              <w:rPr>
                <w:rFonts w:ascii="宋体" w:hAnsi="宋体"/>
                <w:sz w:val="24"/>
              </w:rPr>
            </w:pPr>
            <w:r>
              <w:rPr>
                <w:rFonts w:ascii="宋体" w:hAnsi="宋体"/>
                <w:sz w:val="24"/>
              </w:rPr>
              <w:t>乡镇（街道）意见</w:t>
            </w:r>
          </w:p>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ind w:firstLine="2280" w:firstLineChars="950"/>
              <w:rPr>
                <w:rFonts w:ascii="宋体" w:hAnsi="宋体"/>
                <w:sz w:val="24"/>
              </w:rPr>
            </w:pPr>
            <w:r>
              <w:rPr>
                <w:rFonts w:ascii="宋体" w:hAnsi="宋体"/>
                <w:sz w:val="24"/>
              </w:rPr>
              <w:t>签名：</w:t>
            </w:r>
          </w:p>
          <w:p>
            <w:pPr>
              <w:spacing w:line="320" w:lineRule="exact"/>
              <w:ind w:firstLine="2280" w:firstLineChars="950"/>
              <w:rPr>
                <w:rFonts w:ascii="宋体" w:hAnsi="宋体"/>
                <w:sz w:val="24"/>
              </w:rPr>
            </w:pPr>
            <w:r>
              <w:rPr>
                <w:rFonts w:ascii="宋体" w:hAnsi="宋体"/>
                <w:sz w:val="24"/>
              </w:rPr>
              <w:t>盖章：</w:t>
            </w:r>
          </w:p>
          <w:p>
            <w:pPr>
              <w:spacing w:line="320" w:lineRule="exact"/>
              <w:ind w:firstLine="2280" w:firstLineChars="950"/>
              <w:rPr>
                <w:rFonts w:ascii="宋体" w:hAnsi="宋体"/>
                <w:sz w:val="24"/>
              </w:rPr>
            </w:pPr>
          </w:p>
          <w:p>
            <w:pPr>
              <w:spacing w:line="320" w:lineRule="exact"/>
              <w:jc w:val="center"/>
              <w:rPr>
                <w:rFonts w:ascii="宋体" w:hAnsi="宋体"/>
                <w:sz w:val="24"/>
              </w:rPr>
            </w:pPr>
            <w:r>
              <w:rPr>
                <w:rFonts w:hint="eastAsia" w:ascii="宋体" w:hAnsi="宋体"/>
                <w:sz w:val="24"/>
              </w:rPr>
              <w:t xml:space="preserve">           </w:t>
            </w: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436"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行业主管部门意见</w:t>
            </w:r>
          </w:p>
          <w:p>
            <w:pPr>
              <w:spacing w:line="320" w:lineRule="exact"/>
              <w:jc w:val="left"/>
              <w:rPr>
                <w:rFonts w:ascii="宋体" w:hAnsi="宋体"/>
                <w:sz w:val="24"/>
              </w:rPr>
            </w:pPr>
          </w:p>
          <w:p>
            <w:pPr>
              <w:spacing w:line="320" w:lineRule="exact"/>
              <w:jc w:val="left"/>
              <w:rPr>
                <w:rFonts w:ascii="宋体" w:hAnsi="宋体"/>
                <w:sz w:val="24"/>
              </w:rPr>
            </w:pPr>
          </w:p>
          <w:p>
            <w:pPr>
              <w:spacing w:line="320" w:lineRule="exact"/>
              <w:jc w:val="left"/>
              <w:rPr>
                <w:rFonts w:ascii="宋体" w:hAnsi="宋体"/>
                <w:sz w:val="24"/>
              </w:rPr>
            </w:pPr>
          </w:p>
          <w:p>
            <w:pPr>
              <w:spacing w:line="320" w:lineRule="exact"/>
              <w:jc w:val="left"/>
              <w:rPr>
                <w:rFonts w:ascii="宋体" w:hAnsi="宋体"/>
                <w:sz w:val="24"/>
              </w:rPr>
            </w:pPr>
          </w:p>
          <w:p>
            <w:pPr>
              <w:spacing w:line="320" w:lineRule="exact"/>
              <w:jc w:val="left"/>
              <w:rPr>
                <w:rFonts w:ascii="宋体" w:hAnsi="宋体"/>
                <w:sz w:val="24"/>
              </w:rPr>
            </w:pPr>
          </w:p>
          <w:p>
            <w:pPr>
              <w:spacing w:line="320" w:lineRule="exact"/>
              <w:ind w:firstLine="1920" w:firstLineChars="800"/>
              <w:jc w:val="left"/>
              <w:rPr>
                <w:rFonts w:ascii="宋体" w:hAnsi="宋体"/>
                <w:sz w:val="24"/>
              </w:rPr>
            </w:pPr>
            <w:r>
              <w:rPr>
                <w:rFonts w:ascii="宋体" w:hAnsi="宋体"/>
                <w:sz w:val="24"/>
              </w:rPr>
              <w:t>签名：</w:t>
            </w:r>
          </w:p>
          <w:p>
            <w:pPr>
              <w:spacing w:line="320" w:lineRule="exact"/>
              <w:ind w:firstLine="1920" w:firstLineChars="800"/>
              <w:jc w:val="left"/>
              <w:rPr>
                <w:rFonts w:ascii="宋体" w:hAnsi="宋体"/>
                <w:sz w:val="24"/>
              </w:rPr>
            </w:pPr>
            <w:r>
              <w:rPr>
                <w:rFonts w:ascii="宋体" w:hAnsi="宋体"/>
                <w:sz w:val="24"/>
              </w:rPr>
              <w:t>盖章：</w:t>
            </w:r>
          </w:p>
          <w:p>
            <w:pPr>
              <w:spacing w:line="320" w:lineRule="exact"/>
              <w:jc w:val="left"/>
              <w:rPr>
                <w:rFonts w:ascii="宋体" w:hAnsi="宋体"/>
                <w:sz w:val="24"/>
              </w:rPr>
            </w:pPr>
          </w:p>
          <w:p>
            <w:pPr>
              <w:spacing w:line="320" w:lineRule="exact"/>
              <w:ind w:firstLine="240" w:firstLineChars="100"/>
              <w:jc w:val="lef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年  月  日</w:t>
            </w:r>
          </w:p>
        </w:tc>
        <w:tc>
          <w:tcPr>
            <w:tcW w:w="4567" w:type="dxa"/>
            <w:gridSpan w:val="14"/>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农村产权交易服务机构</w:t>
            </w:r>
            <w:r>
              <w:rPr>
                <w:rFonts w:ascii="宋体" w:hAnsi="宋体"/>
                <w:sz w:val="24"/>
              </w:rPr>
              <w:t>意见</w:t>
            </w:r>
          </w:p>
          <w:p>
            <w:pPr>
              <w:spacing w:line="320" w:lineRule="exact"/>
              <w:jc w:val="left"/>
              <w:rPr>
                <w:rFonts w:ascii="宋体" w:hAnsi="宋体"/>
                <w:sz w:val="24"/>
              </w:rPr>
            </w:pPr>
          </w:p>
          <w:p>
            <w:pPr>
              <w:spacing w:line="320" w:lineRule="exact"/>
              <w:jc w:val="left"/>
              <w:rPr>
                <w:rFonts w:ascii="宋体" w:hAnsi="宋体"/>
                <w:sz w:val="24"/>
              </w:rPr>
            </w:pPr>
          </w:p>
          <w:p>
            <w:pPr>
              <w:spacing w:line="320" w:lineRule="exact"/>
              <w:jc w:val="left"/>
              <w:rPr>
                <w:rFonts w:ascii="宋体" w:hAnsi="宋体"/>
                <w:sz w:val="24"/>
              </w:rPr>
            </w:pPr>
          </w:p>
          <w:p>
            <w:pPr>
              <w:spacing w:line="320" w:lineRule="exact"/>
              <w:jc w:val="left"/>
              <w:rPr>
                <w:rFonts w:ascii="宋体" w:hAnsi="宋体"/>
                <w:sz w:val="24"/>
              </w:rPr>
            </w:pPr>
          </w:p>
          <w:p>
            <w:pPr>
              <w:spacing w:line="320" w:lineRule="exact"/>
              <w:jc w:val="left"/>
              <w:rPr>
                <w:rFonts w:ascii="宋体" w:hAnsi="宋体"/>
                <w:sz w:val="24"/>
              </w:rPr>
            </w:pPr>
          </w:p>
          <w:p>
            <w:pPr>
              <w:spacing w:line="320" w:lineRule="exact"/>
              <w:ind w:firstLine="1920" w:firstLineChars="800"/>
              <w:jc w:val="left"/>
              <w:rPr>
                <w:rFonts w:ascii="宋体" w:hAnsi="宋体"/>
                <w:sz w:val="24"/>
              </w:rPr>
            </w:pPr>
            <w:r>
              <w:rPr>
                <w:rFonts w:ascii="宋体" w:hAnsi="宋体"/>
                <w:sz w:val="24"/>
              </w:rPr>
              <w:t>签名：</w:t>
            </w:r>
          </w:p>
          <w:p>
            <w:pPr>
              <w:spacing w:line="320" w:lineRule="exact"/>
              <w:ind w:firstLine="1920" w:firstLineChars="800"/>
              <w:jc w:val="left"/>
              <w:rPr>
                <w:rFonts w:ascii="宋体" w:hAnsi="宋体"/>
                <w:sz w:val="24"/>
              </w:rPr>
            </w:pPr>
            <w:r>
              <w:rPr>
                <w:rFonts w:ascii="宋体" w:hAnsi="宋体"/>
                <w:sz w:val="24"/>
              </w:rPr>
              <w:t>盖章：</w:t>
            </w:r>
          </w:p>
          <w:p>
            <w:pPr>
              <w:spacing w:line="320" w:lineRule="exact"/>
              <w:jc w:val="left"/>
              <w:rPr>
                <w:rFonts w:ascii="宋体" w:hAnsi="宋体"/>
                <w:sz w:val="24"/>
              </w:rPr>
            </w:pPr>
          </w:p>
          <w:p>
            <w:pPr>
              <w:spacing w:line="320" w:lineRule="exact"/>
              <w:jc w:val="lef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年  月  日</w:t>
            </w:r>
          </w:p>
        </w:tc>
      </w:tr>
    </w:tbl>
    <w:p>
      <w:pPr>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bCs/>
          <w:kern w:val="0"/>
          <w:szCs w:val="21"/>
        </w:rPr>
      </w:pPr>
      <w:r>
        <w:rPr>
          <w:rFonts w:hint="eastAsia"/>
          <w:kern w:val="0"/>
          <w:szCs w:val="21"/>
        </w:rPr>
        <w:t>备注：农村集体产权交易还需要提供：1</w:t>
      </w:r>
      <w:r>
        <w:rPr>
          <w:kern w:val="0"/>
          <w:szCs w:val="21"/>
        </w:rPr>
        <w:t>.</w:t>
      </w:r>
      <w:r>
        <w:rPr>
          <w:rFonts w:hint="eastAsia"/>
          <w:bCs/>
          <w:kern w:val="0"/>
          <w:szCs w:val="21"/>
        </w:rPr>
        <w:t>农村集体经济组织同意流转的书面证明材料（村民大会/代表大会会议记录）；2</w:t>
      </w:r>
      <w:r>
        <w:rPr>
          <w:bCs/>
          <w:kern w:val="0"/>
          <w:szCs w:val="21"/>
        </w:rPr>
        <w:t>.</w:t>
      </w:r>
      <w:r>
        <w:rPr>
          <w:rFonts w:hint="eastAsia"/>
          <w:bCs/>
          <w:kern w:val="0"/>
          <w:szCs w:val="21"/>
        </w:rPr>
        <w:t>产权权属证明材料；3</w:t>
      </w:r>
      <w:r>
        <w:rPr>
          <w:bCs/>
          <w:kern w:val="0"/>
          <w:szCs w:val="21"/>
        </w:rPr>
        <w:t>.</w:t>
      </w:r>
      <w:r>
        <w:rPr>
          <w:rFonts w:hint="eastAsia"/>
          <w:bCs/>
          <w:kern w:val="0"/>
          <w:szCs w:val="21"/>
        </w:rPr>
        <w:t>产权人身份证明材料。</w:t>
      </w:r>
    </w:p>
    <w:p>
      <w:pPr>
        <w:keepNext w:val="0"/>
        <w:keepLines w:val="0"/>
        <w:pageBreakBefore w:val="0"/>
        <w:tabs>
          <w:tab w:val="left" w:pos="4500"/>
        </w:tabs>
        <w:kinsoku/>
        <w:wordWrap/>
        <w:overflowPunct/>
        <w:topLinePunct w:val="0"/>
        <w:autoSpaceDE/>
        <w:autoSpaceDN/>
        <w:bidi w:val="0"/>
        <w:spacing w:line="240" w:lineRule="auto"/>
        <w:textAlignment w:val="auto"/>
        <w:outlineLvl w:val="9"/>
        <w:rPr>
          <w:rFonts w:ascii="方正小标宋_GBK" w:eastAsia="方正小标宋_GBK"/>
          <w:bCs/>
          <w:sz w:val="44"/>
          <w:szCs w:val="44"/>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28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73</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2"/>
                      <w:ind w:right="28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73</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5D6"/>
    <w:multiLevelType w:val="multilevel"/>
    <w:tmpl w:val="055535D6"/>
    <w:lvl w:ilvl="0" w:tentative="0">
      <w:start w:val="4"/>
      <w:numFmt w:val="japaneseCounting"/>
      <w:lvlText w:val="第%1章"/>
      <w:lvlJc w:val="left"/>
      <w:pPr>
        <w:ind w:left="4021" w:hanging="1080"/>
      </w:pPr>
      <w:rPr>
        <w:rFonts w:hint="default"/>
      </w:rPr>
    </w:lvl>
    <w:lvl w:ilvl="1" w:tentative="0">
      <w:start w:val="1"/>
      <w:numFmt w:val="lowerLetter"/>
      <w:lvlText w:val="%2)"/>
      <w:lvlJc w:val="left"/>
      <w:pPr>
        <w:ind w:left="3781" w:hanging="420"/>
      </w:pPr>
    </w:lvl>
    <w:lvl w:ilvl="2" w:tentative="0">
      <w:start w:val="1"/>
      <w:numFmt w:val="lowerRoman"/>
      <w:lvlText w:val="%3."/>
      <w:lvlJc w:val="right"/>
      <w:pPr>
        <w:ind w:left="4201" w:hanging="420"/>
      </w:pPr>
    </w:lvl>
    <w:lvl w:ilvl="3" w:tentative="0">
      <w:start w:val="1"/>
      <w:numFmt w:val="decimal"/>
      <w:lvlText w:val="%4."/>
      <w:lvlJc w:val="left"/>
      <w:pPr>
        <w:ind w:left="4621" w:hanging="420"/>
      </w:pPr>
    </w:lvl>
    <w:lvl w:ilvl="4" w:tentative="0">
      <w:start w:val="1"/>
      <w:numFmt w:val="lowerLetter"/>
      <w:lvlText w:val="%5)"/>
      <w:lvlJc w:val="left"/>
      <w:pPr>
        <w:ind w:left="5041" w:hanging="420"/>
      </w:pPr>
    </w:lvl>
    <w:lvl w:ilvl="5" w:tentative="0">
      <w:start w:val="1"/>
      <w:numFmt w:val="lowerRoman"/>
      <w:lvlText w:val="%6."/>
      <w:lvlJc w:val="right"/>
      <w:pPr>
        <w:ind w:left="5461" w:hanging="420"/>
      </w:pPr>
    </w:lvl>
    <w:lvl w:ilvl="6" w:tentative="0">
      <w:start w:val="1"/>
      <w:numFmt w:val="decimal"/>
      <w:lvlText w:val="%7."/>
      <w:lvlJc w:val="left"/>
      <w:pPr>
        <w:ind w:left="5881" w:hanging="420"/>
      </w:pPr>
    </w:lvl>
    <w:lvl w:ilvl="7" w:tentative="0">
      <w:start w:val="1"/>
      <w:numFmt w:val="lowerLetter"/>
      <w:lvlText w:val="%8)"/>
      <w:lvlJc w:val="left"/>
      <w:pPr>
        <w:ind w:left="6301" w:hanging="420"/>
      </w:pPr>
    </w:lvl>
    <w:lvl w:ilvl="8" w:tentative="0">
      <w:start w:val="1"/>
      <w:numFmt w:val="lowerRoman"/>
      <w:lvlText w:val="%9."/>
      <w:lvlJc w:val="right"/>
      <w:pPr>
        <w:ind w:left="6721" w:hanging="420"/>
      </w:pPr>
    </w:lvl>
  </w:abstractNum>
  <w:abstractNum w:abstractNumId="1">
    <w:nsid w:val="28E05255"/>
    <w:multiLevelType w:val="multilevel"/>
    <w:tmpl w:val="28E05255"/>
    <w:lvl w:ilvl="0" w:tentative="0">
      <w:start w:val="1"/>
      <w:numFmt w:val="japaneseCounting"/>
      <w:lvlText w:val="第%1章"/>
      <w:lvlJc w:val="left"/>
      <w:pPr>
        <w:ind w:left="4199" w:hanging="1080"/>
      </w:pPr>
      <w:rPr>
        <w:rFonts w:hint="default"/>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61183"/>
    <w:rsid w:val="52E61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2021-04-27T00:55:00Z</dcterms:created>
  <dc:creator>程勇辉</dc:creator>
  <cp:lastModifiedBy>程勇辉</cp:lastModifiedBy>
  <dcterms:modified xsi:type="dcterms:W3CDTF">2021-04-27T00:56:20Z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